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4D781">
      <w:pPr>
        <w:pStyle w:val="10"/>
        <w:spacing w:line="360" w:lineRule="auto"/>
        <w:rPr>
          <w:rFonts w:hint="eastAsia" w:asciiTheme="minorEastAsia" w:hAnsiTheme="minorEastAsia" w:eastAsiaTheme="minorEastAsia" w:cstheme="minorEastAsia"/>
          <w:color w:val="auto"/>
          <w:sz w:val="56"/>
          <w:szCs w:val="56"/>
        </w:rPr>
      </w:pPr>
    </w:p>
    <w:p w14:paraId="06C8E1A7">
      <w:pPr>
        <w:pStyle w:val="10"/>
        <w:spacing w:line="360" w:lineRule="auto"/>
        <w:jc w:val="center"/>
        <w:outlineLvl w:val="9"/>
        <w:rPr>
          <w:rFonts w:hint="eastAsia" w:asciiTheme="minorEastAsia" w:hAnsiTheme="minorEastAsia" w:eastAsiaTheme="minorEastAsia" w:cstheme="minorEastAsia"/>
          <w:color w:val="auto"/>
          <w:sz w:val="52"/>
          <w:szCs w:val="52"/>
        </w:rPr>
      </w:pPr>
      <w:r>
        <w:rPr>
          <w:rFonts w:hint="eastAsia" w:asciiTheme="minorEastAsia" w:hAnsiTheme="minorEastAsia" w:eastAsiaTheme="minorEastAsia" w:cstheme="minorEastAsia"/>
          <w:b/>
          <w:color w:val="auto"/>
          <w:sz w:val="52"/>
          <w:szCs w:val="52"/>
        </w:rPr>
        <w:t>福建省政府采购货物和服务项目</w:t>
      </w:r>
    </w:p>
    <w:p w14:paraId="5295DD3D">
      <w:pPr>
        <w:pStyle w:val="10"/>
        <w:spacing w:line="360" w:lineRule="auto"/>
        <w:jc w:val="center"/>
        <w:outlineLvl w:val="0"/>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公开招标文件</w:t>
      </w:r>
    </w:p>
    <w:p w14:paraId="447D81AC">
      <w:pPr>
        <w:pStyle w:val="10"/>
        <w:spacing w:line="360" w:lineRule="auto"/>
        <w:jc w:val="center"/>
        <w:outlineLvl w:val="9"/>
        <w:rPr>
          <w:rFonts w:hint="eastAsia" w:asciiTheme="minorEastAsia" w:hAnsiTheme="minorEastAsia" w:eastAsiaTheme="minorEastAsia" w:cstheme="minorEastAsia"/>
          <w:b/>
          <w:color w:val="auto"/>
          <w:sz w:val="44"/>
          <w:szCs w:val="44"/>
          <w:lang w:eastAsia="zh-CN"/>
        </w:rPr>
      </w:pPr>
      <w:r>
        <w:rPr>
          <w:rFonts w:hint="eastAsia" w:asciiTheme="minorEastAsia" w:hAnsiTheme="minorEastAsia" w:cstheme="minorEastAsia"/>
          <w:b/>
          <w:color w:val="auto"/>
          <w:sz w:val="44"/>
          <w:szCs w:val="44"/>
          <w:lang w:eastAsia="zh-CN"/>
        </w:rPr>
        <w:t>（</w:t>
      </w:r>
      <w:r>
        <w:rPr>
          <w:rFonts w:hint="eastAsia" w:asciiTheme="minorEastAsia" w:hAnsiTheme="minorEastAsia" w:cstheme="minorEastAsia"/>
          <w:b/>
          <w:color w:val="auto"/>
          <w:sz w:val="44"/>
          <w:szCs w:val="44"/>
          <w:lang w:val="en-US" w:eastAsia="zh-CN"/>
        </w:rPr>
        <w:t>预公告稿</w:t>
      </w:r>
      <w:r>
        <w:rPr>
          <w:rFonts w:hint="eastAsia" w:asciiTheme="minorEastAsia" w:hAnsiTheme="minorEastAsia" w:cstheme="minorEastAsia"/>
          <w:b/>
          <w:color w:val="auto"/>
          <w:sz w:val="44"/>
          <w:szCs w:val="44"/>
          <w:lang w:eastAsia="zh-CN"/>
        </w:rPr>
        <w:t>）</w:t>
      </w:r>
    </w:p>
    <w:p w14:paraId="06D86611">
      <w:pPr>
        <w:pStyle w:val="10"/>
        <w:spacing w:line="360" w:lineRule="auto"/>
        <w:jc w:val="center"/>
        <w:outlineLvl w:val="9"/>
        <w:rPr>
          <w:rFonts w:hint="eastAsia" w:asciiTheme="minorEastAsia" w:hAnsiTheme="minorEastAsia" w:eastAsiaTheme="minorEastAsia" w:cstheme="minorEastAsia"/>
          <w:b/>
          <w:color w:val="auto"/>
          <w:sz w:val="44"/>
          <w:szCs w:val="44"/>
        </w:rPr>
      </w:pPr>
    </w:p>
    <w:p w14:paraId="1EFBDBE9">
      <w:pPr>
        <w:pStyle w:val="10"/>
        <w:spacing w:line="360" w:lineRule="auto"/>
        <w:jc w:val="center"/>
        <w:outlineLvl w:val="9"/>
        <w:rPr>
          <w:rFonts w:hint="eastAsia" w:asciiTheme="minorEastAsia" w:hAnsiTheme="minorEastAsia" w:eastAsiaTheme="minorEastAsia" w:cstheme="minorEastAsia"/>
          <w:b/>
          <w:color w:val="auto"/>
          <w:sz w:val="44"/>
          <w:szCs w:val="44"/>
        </w:rPr>
      </w:pPr>
    </w:p>
    <w:p w14:paraId="01E5531A">
      <w:pPr>
        <w:pStyle w:val="10"/>
        <w:spacing w:line="360" w:lineRule="auto"/>
        <w:jc w:val="center"/>
        <w:outlineLvl w:val="9"/>
        <w:rPr>
          <w:rFonts w:hint="eastAsia" w:asciiTheme="minorEastAsia" w:hAnsiTheme="minorEastAsia" w:eastAsiaTheme="minorEastAsia" w:cstheme="minorEastAsia"/>
          <w:b/>
          <w:color w:val="auto"/>
          <w:sz w:val="44"/>
          <w:szCs w:val="44"/>
        </w:rPr>
      </w:pPr>
    </w:p>
    <w:p w14:paraId="2880A43F">
      <w:pPr>
        <w:pStyle w:val="10"/>
        <w:spacing w:line="360" w:lineRule="auto"/>
        <w:jc w:val="center"/>
        <w:outlineLvl w:val="9"/>
        <w:rPr>
          <w:rFonts w:hint="eastAsia" w:asciiTheme="minorEastAsia" w:hAnsiTheme="minorEastAsia" w:eastAsiaTheme="minorEastAsia" w:cstheme="minorEastAsia"/>
          <w:b/>
          <w:color w:val="auto"/>
          <w:sz w:val="44"/>
          <w:szCs w:val="44"/>
        </w:rPr>
      </w:pPr>
    </w:p>
    <w:p w14:paraId="18C70A0F">
      <w:pPr>
        <w:pStyle w:val="10"/>
        <w:spacing w:line="360" w:lineRule="auto"/>
        <w:jc w:val="center"/>
        <w:outlineLvl w:val="2"/>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rPr>
        <w:t>项目名称：福建省公安厅信息化维保服务项目</w:t>
      </w:r>
    </w:p>
    <w:p w14:paraId="28A7E4BA">
      <w:pPr>
        <w:pStyle w:val="10"/>
        <w:spacing w:line="360" w:lineRule="auto"/>
        <w:ind w:firstLine="964" w:firstLineChars="300"/>
        <w:jc w:val="both"/>
        <w:outlineLvl w:val="2"/>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rPr>
        <w:t>备案编号：CGXM-2026-350001-05077[2026]02962</w:t>
      </w:r>
    </w:p>
    <w:p w14:paraId="48D95464">
      <w:pPr>
        <w:pStyle w:val="10"/>
        <w:spacing w:line="360" w:lineRule="auto"/>
        <w:ind w:firstLine="964" w:firstLineChars="300"/>
        <w:jc w:val="both"/>
        <w:outlineLvl w:val="2"/>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rPr>
        <w:t>项目编号：[350001]ZHT[GK]2026002</w:t>
      </w:r>
    </w:p>
    <w:p w14:paraId="7F77E243">
      <w:pPr>
        <w:pStyle w:val="10"/>
        <w:spacing w:line="360" w:lineRule="auto"/>
        <w:jc w:val="center"/>
        <w:outlineLvl w:val="9"/>
        <w:rPr>
          <w:rFonts w:hint="eastAsia" w:asciiTheme="minorEastAsia" w:hAnsiTheme="minorEastAsia" w:eastAsiaTheme="minorEastAsia" w:cstheme="minorEastAsia"/>
          <w:b/>
          <w:color w:val="auto"/>
          <w:sz w:val="32"/>
          <w:szCs w:val="32"/>
        </w:rPr>
      </w:pPr>
    </w:p>
    <w:p w14:paraId="4B4FBFB7">
      <w:pPr>
        <w:pStyle w:val="10"/>
        <w:spacing w:line="360" w:lineRule="auto"/>
        <w:jc w:val="center"/>
        <w:outlineLvl w:val="9"/>
        <w:rPr>
          <w:rFonts w:hint="eastAsia" w:asciiTheme="minorEastAsia" w:hAnsiTheme="minorEastAsia" w:eastAsiaTheme="minorEastAsia" w:cstheme="minorEastAsia"/>
          <w:b/>
          <w:color w:val="auto"/>
          <w:sz w:val="32"/>
          <w:szCs w:val="32"/>
        </w:rPr>
      </w:pPr>
    </w:p>
    <w:p w14:paraId="05C811A4">
      <w:pPr>
        <w:pStyle w:val="10"/>
        <w:spacing w:line="360" w:lineRule="auto"/>
        <w:jc w:val="center"/>
        <w:outlineLvl w:val="9"/>
        <w:rPr>
          <w:rFonts w:hint="eastAsia" w:asciiTheme="minorEastAsia" w:hAnsiTheme="minorEastAsia" w:eastAsiaTheme="minorEastAsia" w:cstheme="minorEastAsia"/>
          <w:b/>
          <w:color w:val="auto"/>
          <w:sz w:val="32"/>
          <w:szCs w:val="32"/>
        </w:rPr>
      </w:pPr>
    </w:p>
    <w:p w14:paraId="38C8F674">
      <w:pPr>
        <w:pStyle w:val="10"/>
        <w:spacing w:line="360" w:lineRule="auto"/>
        <w:jc w:val="both"/>
        <w:outlineLvl w:val="9"/>
        <w:rPr>
          <w:rFonts w:hint="eastAsia" w:asciiTheme="minorEastAsia" w:hAnsiTheme="minorEastAsia" w:eastAsiaTheme="minorEastAsia" w:cstheme="minorEastAsia"/>
          <w:b/>
          <w:color w:val="auto"/>
          <w:sz w:val="32"/>
          <w:szCs w:val="32"/>
        </w:rPr>
      </w:pPr>
    </w:p>
    <w:p w14:paraId="0A38A939">
      <w:pPr>
        <w:pStyle w:val="10"/>
        <w:spacing w:line="360" w:lineRule="auto"/>
        <w:jc w:val="center"/>
        <w:outlineLvl w:val="9"/>
        <w:rPr>
          <w:rFonts w:hint="eastAsia" w:asciiTheme="minorEastAsia" w:hAnsiTheme="minorEastAsia" w:eastAsiaTheme="minorEastAsia" w:cstheme="minorEastAsia"/>
          <w:b/>
          <w:color w:val="auto"/>
          <w:sz w:val="32"/>
          <w:szCs w:val="32"/>
        </w:rPr>
      </w:pPr>
    </w:p>
    <w:p w14:paraId="392A7E1E">
      <w:pPr>
        <w:pStyle w:val="10"/>
        <w:spacing w:line="360" w:lineRule="auto"/>
        <w:jc w:val="center"/>
        <w:outlineLvl w:val="2"/>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rPr>
        <w:t>采购人：福建省公安厅</w:t>
      </w:r>
    </w:p>
    <w:p w14:paraId="16C61E71">
      <w:pPr>
        <w:pStyle w:val="10"/>
        <w:spacing w:line="360" w:lineRule="auto"/>
        <w:jc w:val="center"/>
        <w:outlineLvl w:val="2"/>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rPr>
        <w:t>代理机构：福建省中会通招标代理有限公司</w:t>
      </w:r>
    </w:p>
    <w:p w14:paraId="50AC7FD3">
      <w:pPr>
        <w:pStyle w:val="10"/>
        <w:spacing w:line="360" w:lineRule="auto"/>
        <w:jc w:val="center"/>
        <w:outlineLvl w:val="2"/>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rPr>
        <w:t>编制时间：2026年06月</w:t>
      </w:r>
    </w:p>
    <w:p w14:paraId="4DE7EC4C">
      <w:pPr>
        <w:pStyle w:val="10"/>
        <w:spacing w:line="360" w:lineRule="auto"/>
        <w:jc w:val="center"/>
        <w:outlineLvl w:val="9"/>
        <w:rPr>
          <w:rFonts w:hint="eastAsia" w:asciiTheme="minorEastAsia" w:hAnsiTheme="minorEastAsia" w:eastAsiaTheme="minorEastAsia" w:cstheme="minorEastAsia"/>
          <w:color w:val="auto"/>
          <w:sz w:val="24"/>
          <w:szCs w:val="24"/>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auto"/>
          <w:sz w:val="44"/>
          <w:szCs w:val="44"/>
        </w:rPr>
        <w:t xml:space="preserve"> </w:t>
      </w:r>
      <w:r>
        <w:rPr>
          <w:rFonts w:hint="eastAsia" w:asciiTheme="minorEastAsia" w:hAnsiTheme="minorEastAsia" w:eastAsiaTheme="minorEastAsia" w:cstheme="minorEastAsia"/>
          <w:color w:val="auto"/>
          <w:sz w:val="24"/>
          <w:szCs w:val="24"/>
        </w:rPr>
        <w:br w:type="textWrapping"/>
      </w:r>
    </w:p>
    <w:p w14:paraId="67C82CE7">
      <w:pPr>
        <w:pStyle w:val="10"/>
        <w:spacing w:line="360" w:lineRule="auto"/>
        <w:jc w:val="center"/>
        <w:outlineLvl w:val="1"/>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第一章 投标邀请</w:t>
      </w:r>
    </w:p>
    <w:p w14:paraId="4046FC4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福建省中会通招标代理有限公司 采用公开招标方式组织 福建省公安厅信息化维保服务项目 （以下简称：“本项目”）的政府采购活动，现邀请供应商参加投标。</w:t>
      </w:r>
    </w:p>
    <w:p w14:paraId="02777F8A">
      <w:pPr>
        <w:pStyle w:val="10"/>
        <w:spacing w:line="360" w:lineRule="auto"/>
        <w:ind w:firstLine="480"/>
        <w:jc w:val="left"/>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1、备案编号：CGXM-2026-350001-05077[2026]02962</w:t>
      </w:r>
    </w:p>
    <w:p w14:paraId="39E2D37A">
      <w:pPr>
        <w:pStyle w:val="10"/>
        <w:spacing w:line="360" w:lineRule="auto"/>
        <w:ind w:firstLine="480"/>
        <w:jc w:val="left"/>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2、项目编号：[350001]ZHT[GK]2026002</w:t>
      </w:r>
    </w:p>
    <w:p w14:paraId="43BEE3EB">
      <w:pPr>
        <w:pStyle w:val="10"/>
        <w:spacing w:line="360" w:lineRule="auto"/>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3、预算金额、最高限价：详见《采购标的一览表》。</w:t>
      </w:r>
    </w:p>
    <w:p w14:paraId="7AC2322C">
      <w:pPr>
        <w:pStyle w:val="10"/>
        <w:spacing w:line="360" w:lineRule="auto"/>
        <w:ind w:firstLine="480"/>
        <w:jc w:val="left"/>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4、招标内容及要求：详见《采购标的一览表》及招标文件第五章。</w:t>
      </w:r>
    </w:p>
    <w:p w14:paraId="05B961CE">
      <w:pPr>
        <w:pStyle w:val="10"/>
        <w:spacing w:line="360" w:lineRule="auto"/>
        <w:ind w:firstLine="480"/>
        <w:jc w:val="left"/>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5、需要落实的政府采购政策</w:t>
      </w:r>
    </w:p>
    <w:p w14:paraId="1919DDDF">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进口产品：不适用</w:t>
      </w:r>
    </w:p>
    <w:p w14:paraId="5252967E">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节能产品：不适用</w:t>
      </w:r>
    </w:p>
    <w:p w14:paraId="65D00133">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环境标志产品：不适用</w:t>
      </w:r>
    </w:p>
    <w:p w14:paraId="328A10AD">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促进中小企业发展的相关政策：</w:t>
      </w:r>
    </w:p>
    <w:p w14:paraId="67181245">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采购包1：不专门面向中小企业采购</w:t>
      </w:r>
    </w:p>
    <w:p w14:paraId="2817D406">
      <w:pPr>
        <w:pStyle w:val="10"/>
        <w:spacing w:line="360" w:lineRule="auto"/>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6、投标人的资格要求</w:t>
      </w:r>
    </w:p>
    <w:p w14:paraId="65CD572B">
      <w:pPr>
        <w:pStyle w:val="10"/>
        <w:spacing w:line="360" w:lineRule="auto"/>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6.1法定条件：符合政府采购法第二十二条第一款规定的条件。</w:t>
      </w:r>
    </w:p>
    <w:p w14:paraId="10432915">
      <w:pPr>
        <w:pStyle w:val="10"/>
        <w:spacing w:line="360" w:lineRule="auto"/>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6.2特定条件：</w:t>
      </w:r>
    </w:p>
    <w:p w14:paraId="5DF27000">
      <w:pPr>
        <w:pStyle w:val="10"/>
        <w:spacing w:line="360" w:lineRule="auto"/>
        <w:ind w:firstLine="9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3AB17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6E343E7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资格审查要求概况</w:t>
            </w:r>
          </w:p>
        </w:tc>
        <w:tc>
          <w:tcPr>
            <w:tcW w:w="4614" w:type="dxa"/>
          </w:tcPr>
          <w:p w14:paraId="3E9A2DF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评审点具体描述</w:t>
            </w:r>
          </w:p>
        </w:tc>
      </w:tr>
      <w:tr w14:paraId="53A60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92E946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资格承诺函</w:t>
            </w:r>
          </w:p>
        </w:tc>
        <w:tc>
          <w:tcPr>
            <w:tcW w:w="4614" w:type="dxa"/>
          </w:tcPr>
          <w:p w14:paraId="6E3A84E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14:paraId="78554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BBF43B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投标保证金</w:t>
            </w:r>
          </w:p>
        </w:tc>
        <w:tc>
          <w:tcPr>
            <w:tcW w:w="4614" w:type="dxa"/>
          </w:tcPr>
          <w:p w14:paraId="36EF22A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投标保证金应符合招标文件第三章“投标人须知”中“四、投标”关于“10.9投标保证金” 第(2)、(3)点的要求。</w:t>
            </w:r>
          </w:p>
        </w:tc>
      </w:tr>
    </w:tbl>
    <w:p w14:paraId="63E06056">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6.3是否接受联合体投标：</w:t>
      </w:r>
    </w:p>
    <w:p w14:paraId="0DB09080">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采购包1：不接受</w:t>
      </w:r>
    </w:p>
    <w:p w14:paraId="3EF44BD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※根据上述资格要求，电子投标文件中应提交的“投标人的资格及资信证明文件”详见招标文件第四章。</w:t>
      </w:r>
    </w:p>
    <w:p w14:paraId="361A5F73">
      <w:pPr>
        <w:pStyle w:val="10"/>
        <w:spacing w:line="360" w:lineRule="auto"/>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7、招标文件的获取</w:t>
      </w:r>
    </w:p>
    <w:p w14:paraId="12B905E3">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7.1、招标文件获取期限：详见招标公告或更正公告，若不一致，以更正公告为准。</w:t>
      </w:r>
    </w:p>
    <w:p w14:paraId="23E9FC42">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7.2、在招标文件获取期限内，供应商应通过福建省政府采购网上公开信息系统的注册账号（免费注册）并获取招标文件(登录福建省政府采购网上公开信息系统进行文件获取)，否则投标将被拒绝。</w:t>
      </w:r>
    </w:p>
    <w:p w14:paraId="1F9A32B0">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7.3、获取地点及方式：注册账号后，通过福建省政府采购网上公开信息系统以下载方式获取。</w:t>
      </w:r>
    </w:p>
    <w:p w14:paraId="4ED27DA6">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7.4、招标文件售价：0元。</w:t>
      </w:r>
    </w:p>
    <w:p w14:paraId="05339B97">
      <w:pPr>
        <w:pStyle w:val="10"/>
        <w:spacing w:line="360" w:lineRule="auto"/>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8、投标截止</w:t>
      </w:r>
    </w:p>
    <w:p w14:paraId="62CBD203">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8.1、投标截止时间：详见招标公告或更正公告，若不一致，以更正公告为准。</w:t>
      </w:r>
    </w:p>
    <w:p w14:paraId="4E59D572">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8.2、投标人应在投标截止时间前按照福建省政府采购网上公开信息系统设定的操作流程将电子投标文件上传至福建省政府采购网上公开信息系统，否则投标将被拒绝。</w:t>
      </w:r>
    </w:p>
    <w:p w14:paraId="36C19705">
      <w:pPr>
        <w:pStyle w:val="10"/>
        <w:spacing w:line="360" w:lineRule="auto"/>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9、开标时间及地点</w:t>
      </w:r>
    </w:p>
    <w:p w14:paraId="24D46890">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详见招标公告或更正公告，若不一致，以更正公告为准。</w:t>
      </w:r>
    </w:p>
    <w:p w14:paraId="32CB54AF">
      <w:pPr>
        <w:pStyle w:val="10"/>
        <w:spacing w:line="360" w:lineRule="auto"/>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10、公告期限</w:t>
      </w:r>
    </w:p>
    <w:p w14:paraId="3EFB5807">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10.1、招标公告的公告期限：自财政部和福建省财政厅指定的政府采购信息发布媒体最先发布公告之日起5个工作日。</w:t>
      </w:r>
    </w:p>
    <w:p w14:paraId="1F55FDC6">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10.2、招标文件公告期限：招标文件随同招标公告一并发布，其公告期限与招标公告的公告期限保持一致。</w:t>
      </w:r>
    </w:p>
    <w:p w14:paraId="02F90F25">
      <w:pPr>
        <w:pStyle w:val="10"/>
        <w:spacing w:line="360" w:lineRule="auto"/>
        <w:ind w:firstLine="480"/>
        <w:jc w:val="left"/>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11、采购人：福建省公安厅</w:t>
      </w:r>
    </w:p>
    <w:p w14:paraId="22ADABB6">
      <w:pPr>
        <w:pStyle w:val="1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 福建省福州市鼓楼区华林路12号</w:t>
      </w:r>
    </w:p>
    <w:p w14:paraId="03E9DFD2">
      <w:pPr>
        <w:pStyle w:val="1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邮编： 350001</w:t>
      </w:r>
    </w:p>
    <w:p w14:paraId="24B0FCF4">
      <w:pPr>
        <w:pStyle w:val="10"/>
        <w:spacing w:line="360" w:lineRule="auto"/>
        <w:ind w:firstLine="480" w:firstLineChars="200"/>
        <w:jc w:val="left"/>
        <w:rPr>
          <w:rFonts w:hint="eastAsia" w:asciiTheme="minorEastAsia" w:hAnsi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 xml:space="preserve">联系人： </w:t>
      </w:r>
      <w:r>
        <w:rPr>
          <w:rFonts w:hint="eastAsia" w:asciiTheme="minorEastAsia" w:hAnsiTheme="minorEastAsia" w:cstheme="minorEastAsia"/>
          <w:color w:val="auto"/>
          <w:sz w:val="24"/>
          <w:szCs w:val="24"/>
          <w:lang w:eastAsia="zh-CN"/>
        </w:rPr>
        <w:t>王先生</w:t>
      </w:r>
    </w:p>
    <w:p w14:paraId="7F605C5B">
      <w:pPr>
        <w:pStyle w:val="10"/>
        <w:spacing w:line="360" w:lineRule="auto"/>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联系电话： </w:t>
      </w:r>
      <w:r>
        <w:rPr>
          <w:rFonts w:hint="eastAsia" w:asciiTheme="minorEastAsia" w:hAnsiTheme="minorEastAsia" w:cstheme="minorEastAsia"/>
          <w:color w:val="auto"/>
          <w:sz w:val="24"/>
          <w:szCs w:val="24"/>
          <w:lang w:val="en-US" w:eastAsia="zh-CN"/>
        </w:rPr>
        <w:t>0591-87093861</w:t>
      </w:r>
    </w:p>
    <w:p w14:paraId="671D6495">
      <w:pPr>
        <w:pStyle w:val="10"/>
        <w:spacing w:line="360" w:lineRule="auto"/>
        <w:ind w:firstLine="480"/>
        <w:jc w:val="left"/>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12、代理机构：福建省中会通招标代理有限公司</w:t>
      </w:r>
    </w:p>
    <w:p w14:paraId="657280C8">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 福建省福州市鼓楼区五四路210号国际大厦6层C座</w:t>
      </w:r>
    </w:p>
    <w:p w14:paraId="06FB2DC6">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邮编： 350001</w:t>
      </w:r>
    </w:p>
    <w:p w14:paraId="05C7D764">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联系人：吴慧蓉、李宝东、杨慧婷、叶嘉文、林艳霏</w:t>
      </w:r>
    </w:p>
    <w:p w14:paraId="6E0EEC51">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bookmarkStart w:id="0" w:name="_GoBack"/>
      <w:bookmarkEnd w:id="0"/>
      <w:r>
        <w:rPr>
          <w:rFonts w:hint="eastAsia" w:asciiTheme="minorEastAsia" w:hAnsiTheme="minorEastAsia" w:eastAsiaTheme="minorEastAsia" w:cstheme="minorEastAsia"/>
          <w:color w:val="auto"/>
          <w:sz w:val="24"/>
          <w:szCs w:val="24"/>
        </w:rPr>
        <w:t>联系电话： 0591-87821985</w:t>
      </w:r>
    </w:p>
    <w:p w14:paraId="1F1F3D05">
      <w:pPr>
        <w:pStyle w:val="10"/>
        <w:spacing w:line="360" w:lineRule="auto"/>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附1：账户信息</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60A2A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A1E38C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投标保证金账户</w:t>
            </w:r>
          </w:p>
          <w:p w14:paraId="51BE1529">
            <w:pPr>
              <w:pStyle w:val="10"/>
              <w:spacing w:line="360" w:lineRule="auto"/>
              <w:jc w:val="left"/>
              <w:rPr>
                <w:rFonts w:hint="eastAsia" w:asciiTheme="minorEastAsia" w:hAnsiTheme="minorEastAsia" w:eastAsiaTheme="minorEastAsia" w:cstheme="minorEastAsia"/>
                <w:color w:val="auto"/>
                <w:sz w:val="24"/>
                <w:szCs w:val="24"/>
              </w:rPr>
            </w:pPr>
          </w:p>
        </w:tc>
      </w:tr>
      <w:tr w14:paraId="0B240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0F9A36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开户名称： 福建省中会通招标代理有限公司</w:t>
            </w:r>
          </w:p>
        </w:tc>
      </w:tr>
      <w:tr w14:paraId="09EA0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4A0B35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开户银行：供应商在福建省政府采购网上公开信息系统获取招标文件后，根据其提示自行选择要缴交的投标保证金托管银行。</w:t>
            </w:r>
          </w:p>
        </w:tc>
      </w:tr>
      <w:tr w14:paraId="4944A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345A13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6F5D1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E1DAED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特别提示</w:t>
            </w:r>
          </w:p>
        </w:tc>
      </w:tr>
      <w:tr w14:paraId="6B405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EC7522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1、投标人应认真核对账户信息，将投标保证金汇入以上账户，并自行承担因汇错投标保证金而产生的一切后果。</w:t>
            </w:r>
          </w:p>
          <w:p w14:paraId="3F4376F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2、投标人在转账或电汇的凭证上应按照以下格式注明，以便核对：“（项目编号：***）的投标保证金”。</w:t>
            </w:r>
          </w:p>
        </w:tc>
      </w:tr>
    </w:tbl>
    <w:p w14:paraId="3249F6B5">
      <w:pPr>
        <w:pStyle w:val="10"/>
        <w:spacing w:line="360" w:lineRule="auto"/>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附2：采购标的一览表</w:t>
      </w:r>
    </w:p>
    <w:p w14:paraId="36FE58F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w:t>
      </w:r>
    </w:p>
    <w:p w14:paraId="62CF400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采购包预算金额（元）: 26,867,600.00</w:t>
      </w:r>
    </w:p>
    <w:p w14:paraId="71AB3D5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采购包最高限价（元）: 26,867,600.00</w:t>
      </w:r>
    </w:p>
    <w:p w14:paraId="5FFBF72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采购包保证金金额（元）: 268,676.00</w:t>
      </w:r>
    </w:p>
    <w:tbl>
      <w:tblPr>
        <w:tblStyle w:val="6"/>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5"/>
        <w:gridCol w:w="1854"/>
        <w:gridCol w:w="874"/>
        <w:gridCol w:w="1776"/>
        <w:gridCol w:w="950"/>
        <w:gridCol w:w="1292"/>
        <w:gridCol w:w="1121"/>
      </w:tblGrid>
      <w:tr w14:paraId="2D40A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09BF3AC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854" w:type="dxa"/>
          </w:tcPr>
          <w:p w14:paraId="769EABE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标的名称</w:t>
            </w:r>
          </w:p>
        </w:tc>
        <w:tc>
          <w:tcPr>
            <w:tcW w:w="874" w:type="dxa"/>
          </w:tcPr>
          <w:p w14:paraId="30CF8AE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1776" w:type="dxa"/>
          </w:tcPr>
          <w:p w14:paraId="7175237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标的金额 （元）</w:t>
            </w:r>
          </w:p>
        </w:tc>
        <w:tc>
          <w:tcPr>
            <w:tcW w:w="950" w:type="dxa"/>
          </w:tcPr>
          <w:p w14:paraId="7E613C8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计量单位</w:t>
            </w:r>
          </w:p>
        </w:tc>
        <w:tc>
          <w:tcPr>
            <w:tcW w:w="1292" w:type="dxa"/>
          </w:tcPr>
          <w:p w14:paraId="275B407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所属行业</w:t>
            </w:r>
          </w:p>
        </w:tc>
        <w:tc>
          <w:tcPr>
            <w:tcW w:w="1121" w:type="dxa"/>
          </w:tcPr>
          <w:p w14:paraId="05E811E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是否允许进口产品</w:t>
            </w:r>
          </w:p>
        </w:tc>
      </w:tr>
      <w:tr w14:paraId="413CA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42E5568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854" w:type="dxa"/>
          </w:tcPr>
          <w:p w14:paraId="34E7DFB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福建省公安厅信息化维保服务项目</w:t>
            </w:r>
          </w:p>
        </w:tc>
        <w:tc>
          <w:tcPr>
            <w:tcW w:w="874" w:type="dxa"/>
          </w:tcPr>
          <w:p w14:paraId="058AC107">
            <w:pPr>
              <w:pStyle w:val="10"/>
              <w:spacing w:line="36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w:t>
            </w:r>
          </w:p>
        </w:tc>
        <w:tc>
          <w:tcPr>
            <w:tcW w:w="1776" w:type="dxa"/>
          </w:tcPr>
          <w:p w14:paraId="394A3DA9">
            <w:pPr>
              <w:pStyle w:val="10"/>
              <w:spacing w:line="36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26,867,600.00</w:t>
            </w:r>
          </w:p>
        </w:tc>
        <w:tc>
          <w:tcPr>
            <w:tcW w:w="950" w:type="dxa"/>
          </w:tcPr>
          <w:p w14:paraId="7F13F81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w:t>
            </w:r>
          </w:p>
        </w:tc>
        <w:tc>
          <w:tcPr>
            <w:tcW w:w="1292" w:type="dxa"/>
          </w:tcPr>
          <w:p w14:paraId="1856E69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软件和信息技术服务业</w:t>
            </w:r>
          </w:p>
        </w:tc>
        <w:tc>
          <w:tcPr>
            <w:tcW w:w="1121" w:type="dxa"/>
          </w:tcPr>
          <w:p w14:paraId="51C872F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w:t>
            </w:r>
          </w:p>
        </w:tc>
      </w:tr>
    </w:tbl>
    <w:p w14:paraId="66448A3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w:t>
      </w:r>
    </w:p>
    <w:p w14:paraId="7E5F350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报价要求：</w:t>
      </w:r>
    </w:p>
    <w:tbl>
      <w:tblPr>
        <w:tblStyle w:val="6"/>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2176"/>
        <w:gridCol w:w="750"/>
        <w:gridCol w:w="1042"/>
        <w:gridCol w:w="1776"/>
        <w:gridCol w:w="1322"/>
        <w:gridCol w:w="1000"/>
      </w:tblGrid>
      <w:tr w14:paraId="56061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640DCA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2176" w:type="dxa"/>
          </w:tcPr>
          <w:p w14:paraId="0D4305D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报价内容</w:t>
            </w:r>
          </w:p>
        </w:tc>
        <w:tc>
          <w:tcPr>
            <w:tcW w:w="750" w:type="dxa"/>
          </w:tcPr>
          <w:p w14:paraId="5BFF7D8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计量单位</w:t>
            </w:r>
          </w:p>
        </w:tc>
        <w:tc>
          <w:tcPr>
            <w:tcW w:w="1042" w:type="dxa"/>
          </w:tcPr>
          <w:p w14:paraId="13B157E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报价单位</w:t>
            </w:r>
          </w:p>
        </w:tc>
        <w:tc>
          <w:tcPr>
            <w:tcW w:w="1776" w:type="dxa"/>
          </w:tcPr>
          <w:p w14:paraId="0A52567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最高限价</w:t>
            </w:r>
          </w:p>
        </w:tc>
        <w:tc>
          <w:tcPr>
            <w:tcW w:w="1322" w:type="dxa"/>
          </w:tcPr>
          <w:p w14:paraId="2942360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价款形式</w:t>
            </w:r>
          </w:p>
        </w:tc>
        <w:tc>
          <w:tcPr>
            <w:tcW w:w="1000" w:type="dxa"/>
          </w:tcPr>
          <w:p w14:paraId="18601BF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报价说明</w:t>
            </w:r>
          </w:p>
        </w:tc>
      </w:tr>
      <w:tr w14:paraId="19E0A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DEBE84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176" w:type="dxa"/>
          </w:tcPr>
          <w:p w14:paraId="067AC07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福建省公安厅信息化维保服务项目</w:t>
            </w:r>
          </w:p>
        </w:tc>
        <w:tc>
          <w:tcPr>
            <w:tcW w:w="750" w:type="dxa"/>
          </w:tcPr>
          <w:p w14:paraId="3223A27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w:t>
            </w:r>
          </w:p>
        </w:tc>
        <w:tc>
          <w:tcPr>
            <w:tcW w:w="1042" w:type="dxa"/>
          </w:tcPr>
          <w:p w14:paraId="33848D2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元</w:t>
            </w:r>
          </w:p>
        </w:tc>
        <w:tc>
          <w:tcPr>
            <w:tcW w:w="1776" w:type="dxa"/>
          </w:tcPr>
          <w:p w14:paraId="7C17D121">
            <w:pPr>
              <w:pStyle w:val="10"/>
              <w:spacing w:line="36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26,867,600.00</w:t>
            </w:r>
          </w:p>
        </w:tc>
        <w:tc>
          <w:tcPr>
            <w:tcW w:w="1322" w:type="dxa"/>
          </w:tcPr>
          <w:p w14:paraId="225287D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w:t>
            </w:r>
          </w:p>
        </w:tc>
        <w:tc>
          <w:tcPr>
            <w:tcW w:w="1000" w:type="dxa"/>
          </w:tcPr>
          <w:p w14:paraId="70BC1B4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w:t>
            </w:r>
          </w:p>
        </w:tc>
      </w:tr>
    </w:tbl>
    <w:p w14:paraId="17AB3148">
      <w:pPr>
        <w:pStyle w:val="10"/>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第二章 投标人须知前附表</w:t>
      </w:r>
    </w:p>
    <w:p w14:paraId="0012AE07">
      <w:pPr>
        <w:pStyle w:val="10"/>
        <w:spacing w:line="360" w:lineRule="auto"/>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一、投标人须知前附表1</w:t>
      </w:r>
    </w:p>
    <w:tbl>
      <w:tblPr>
        <w:tblStyle w:val="6"/>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8"/>
        <w:gridCol w:w="2059"/>
        <w:gridCol w:w="5495"/>
      </w:tblGrid>
      <w:tr w14:paraId="76AC1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19D8E7C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特别提示：本表与招标文件对应章节的内容若不一致，以本表为准。</w:t>
            </w:r>
          </w:p>
        </w:tc>
      </w:tr>
      <w:tr w14:paraId="37260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8" w:type="dxa"/>
          </w:tcPr>
          <w:p w14:paraId="62F8F68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2059" w:type="dxa"/>
          </w:tcPr>
          <w:p w14:paraId="66D9BFF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招标文件</w:t>
            </w:r>
          </w:p>
          <w:p w14:paraId="689C1A4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（第三章）</w:t>
            </w:r>
          </w:p>
        </w:tc>
        <w:tc>
          <w:tcPr>
            <w:tcW w:w="5495" w:type="dxa"/>
          </w:tcPr>
          <w:p w14:paraId="4BEED17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编列内容</w:t>
            </w:r>
          </w:p>
        </w:tc>
      </w:tr>
      <w:tr w14:paraId="732BF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8" w:type="dxa"/>
          </w:tcPr>
          <w:p w14:paraId="0AA6615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059" w:type="dxa"/>
          </w:tcPr>
          <w:p w14:paraId="56DBE0B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w:t>
            </w:r>
          </w:p>
        </w:tc>
        <w:tc>
          <w:tcPr>
            <w:tcW w:w="5495" w:type="dxa"/>
          </w:tcPr>
          <w:p w14:paraId="55B73E2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是否组织现场考察或召开开标前答疑会：</w:t>
            </w:r>
          </w:p>
          <w:p w14:paraId="5F202F8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采购包1：不组织</w:t>
            </w:r>
          </w:p>
        </w:tc>
      </w:tr>
      <w:tr w14:paraId="47B9D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8" w:type="dxa"/>
          </w:tcPr>
          <w:p w14:paraId="4B62BD4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2059" w:type="dxa"/>
          </w:tcPr>
          <w:p w14:paraId="297138F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10.4</w:t>
            </w:r>
          </w:p>
        </w:tc>
        <w:tc>
          <w:tcPr>
            <w:tcW w:w="5495" w:type="dxa"/>
          </w:tcPr>
          <w:p w14:paraId="05891A1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投标文件的份数：</w:t>
            </w:r>
          </w:p>
          <w:p w14:paraId="0FDFD2C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（1）可读介质（光盘或U盘） 0 份：投标人应将其上传至福建省政府采购网上公开信息系统的电子投标文件在该可读介质中另存 0 份。</w:t>
            </w:r>
          </w:p>
          <w:p w14:paraId="1848DD5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（2）电子投标文件：详见投标人须知前附表2《关于电子招标投标活动的专门规定》。</w:t>
            </w:r>
          </w:p>
        </w:tc>
      </w:tr>
      <w:tr w14:paraId="5E0F1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8" w:type="dxa"/>
          </w:tcPr>
          <w:p w14:paraId="6F465DA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2059" w:type="dxa"/>
          </w:tcPr>
          <w:p w14:paraId="1FF7924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10.7-（1）</w:t>
            </w:r>
          </w:p>
        </w:tc>
        <w:tc>
          <w:tcPr>
            <w:tcW w:w="5495" w:type="dxa"/>
          </w:tcPr>
          <w:p w14:paraId="47702E1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是否允许中标人将本项目的非主体、非关键性工作进行分包：</w:t>
            </w:r>
          </w:p>
          <w:p w14:paraId="4C6FF15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采购包1：不允许合同分包；</w:t>
            </w:r>
          </w:p>
        </w:tc>
      </w:tr>
      <w:tr w14:paraId="6A5F0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8" w:type="dxa"/>
          </w:tcPr>
          <w:p w14:paraId="6B283B6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2059" w:type="dxa"/>
          </w:tcPr>
          <w:p w14:paraId="159904E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10.8-（1）</w:t>
            </w:r>
          </w:p>
        </w:tc>
        <w:tc>
          <w:tcPr>
            <w:tcW w:w="5495" w:type="dxa"/>
          </w:tcPr>
          <w:p w14:paraId="5F786F5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投标有效期：投标截止时间起 90 个日历日。</w:t>
            </w:r>
          </w:p>
        </w:tc>
      </w:tr>
      <w:tr w14:paraId="3CD20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8" w:type="dxa"/>
          </w:tcPr>
          <w:p w14:paraId="6A6A5EF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2059" w:type="dxa"/>
          </w:tcPr>
          <w:p w14:paraId="14957BD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w:t>
            </w:r>
          </w:p>
        </w:tc>
        <w:tc>
          <w:tcPr>
            <w:tcW w:w="5495" w:type="dxa"/>
          </w:tcPr>
          <w:p w14:paraId="4755969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确定中标候选人名单：</w:t>
            </w:r>
          </w:p>
          <w:p w14:paraId="4F01363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采购包1：1名</w:t>
            </w:r>
          </w:p>
        </w:tc>
      </w:tr>
      <w:tr w14:paraId="405F1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8" w:type="dxa"/>
          </w:tcPr>
          <w:p w14:paraId="4AF0BC2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2059" w:type="dxa"/>
          </w:tcPr>
          <w:p w14:paraId="270B918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w:t>
            </w:r>
          </w:p>
        </w:tc>
        <w:tc>
          <w:tcPr>
            <w:tcW w:w="5495" w:type="dxa"/>
          </w:tcPr>
          <w:p w14:paraId="4C96010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本项目中标人的确定（以采购包为单位）：</w:t>
            </w:r>
          </w:p>
          <w:p w14:paraId="4381C28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采购人应在政府采购招投标管理办法规定的时限内确定中标人。</w:t>
            </w:r>
          </w:p>
          <w:p w14:paraId="70CE804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（2）若出现中标候选人并列情形，则按照下列方式确定中标人：</w:t>
            </w:r>
          </w:p>
          <w:p w14:paraId="1AD4C6B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①招标文件规定的方式：</w:t>
            </w:r>
          </w:p>
          <w:p w14:paraId="4C81E11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w:t>
            </w:r>
          </w:p>
          <w:p w14:paraId="2959A34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②若本款第①点规定方式为“无”，则按照下列方式确定：</w:t>
            </w:r>
          </w:p>
          <w:p w14:paraId="662D543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w:t>
            </w:r>
          </w:p>
          <w:p w14:paraId="0876A29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③若本款第①、②点规定方式均为“无”，则按照下列方式确定：随机抽取。</w:t>
            </w:r>
          </w:p>
          <w:p w14:paraId="6D82C47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（3）本项目确定的中标人家数：</w:t>
            </w:r>
          </w:p>
          <w:p w14:paraId="54ADD87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采购包1：1名</w:t>
            </w:r>
          </w:p>
        </w:tc>
      </w:tr>
      <w:tr w14:paraId="73A01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8" w:type="dxa"/>
          </w:tcPr>
          <w:p w14:paraId="2186B47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2059" w:type="dxa"/>
          </w:tcPr>
          <w:p w14:paraId="3A21BD6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13.2</w:t>
            </w:r>
          </w:p>
        </w:tc>
        <w:tc>
          <w:tcPr>
            <w:tcW w:w="5495" w:type="dxa"/>
          </w:tcPr>
          <w:p w14:paraId="56663BB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合同签订时限： 自中标通知书发出之日起30个日历日内。</w:t>
            </w:r>
          </w:p>
        </w:tc>
      </w:tr>
      <w:tr w14:paraId="1547D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8" w:type="dxa"/>
          </w:tcPr>
          <w:p w14:paraId="53A0327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2059" w:type="dxa"/>
          </w:tcPr>
          <w:p w14:paraId="2645E18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15.1-（2）</w:t>
            </w:r>
          </w:p>
        </w:tc>
        <w:tc>
          <w:tcPr>
            <w:tcW w:w="5495" w:type="dxa"/>
          </w:tcPr>
          <w:p w14:paraId="5C53EEB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质疑函原件应采用下列方式提交：书面形式。</w:t>
            </w:r>
          </w:p>
        </w:tc>
      </w:tr>
      <w:tr w14:paraId="7F6D4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8" w:type="dxa"/>
          </w:tcPr>
          <w:p w14:paraId="17AC7C8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2059" w:type="dxa"/>
          </w:tcPr>
          <w:p w14:paraId="7C64ACB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15.4</w:t>
            </w:r>
          </w:p>
        </w:tc>
        <w:tc>
          <w:tcPr>
            <w:tcW w:w="5495" w:type="dxa"/>
          </w:tcPr>
          <w:p w14:paraId="6B371DA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招标文件的质疑</w:t>
            </w:r>
          </w:p>
          <w:p w14:paraId="40D44D5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（1）潜在投标人可在质疑时效期间内对招标文件以书面形式提出质疑。</w:t>
            </w:r>
          </w:p>
          <w:p w14:paraId="55A7C8F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（2）质疑时效期间：应在依法获取招标文件之日起7个工作日内向 福建省中会通招标代理有限公司 提出，依法获取招标文件的时间以福建省政府采购网上公开信息系统记载的为准。</w:t>
            </w:r>
          </w:p>
          <w:p w14:paraId="66B123E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※除上述规定外，对招标文件提出的质疑还应符合招标文件第三章第15.1条的有关规定。</w:t>
            </w:r>
          </w:p>
        </w:tc>
      </w:tr>
      <w:tr w14:paraId="3ECB7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8" w:type="dxa"/>
          </w:tcPr>
          <w:p w14:paraId="25E1F98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2059" w:type="dxa"/>
          </w:tcPr>
          <w:p w14:paraId="2A14AD6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16.1</w:t>
            </w:r>
          </w:p>
        </w:tc>
        <w:tc>
          <w:tcPr>
            <w:tcW w:w="5495" w:type="dxa"/>
          </w:tcPr>
          <w:p w14:paraId="74D773F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监督管理部门： 福建省财政厅政府采购监督管理办公室 （仅限依法进行政府采购的货物或服务类项目）。</w:t>
            </w:r>
          </w:p>
        </w:tc>
      </w:tr>
      <w:tr w14:paraId="2C368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8" w:type="dxa"/>
          </w:tcPr>
          <w:p w14:paraId="0B12BE0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2059" w:type="dxa"/>
          </w:tcPr>
          <w:p w14:paraId="00FE3EA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18.1</w:t>
            </w:r>
          </w:p>
        </w:tc>
        <w:tc>
          <w:tcPr>
            <w:tcW w:w="5495" w:type="dxa"/>
          </w:tcPr>
          <w:p w14:paraId="59CA98B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财政部和福建省财政厅指定的政府采购信息发布媒体（以下简称：“指定媒体”）：</w:t>
            </w:r>
          </w:p>
          <w:p w14:paraId="0A87476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（1）中国政府采购网，网址www.ccgp.gov.cn。</w:t>
            </w:r>
          </w:p>
          <w:p w14:paraId="6DBAF1C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（2）中国政府采购网福建分网（福建省政府采购网），网址zfcg.czt.fujian.gov.cn。</w:t>
            </w:r>
          </w:p>
          <w:p w14:paraId="19AA0D3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※若出现上述指定媒体信息不一致情形，应以中国政府采购网福建分网（福建省政府采购网）发布的为准。</w:t>
            </w:r>
          </w:p>
        </w:tc>
      </w:tr>
      <w:tr w14:paraId="7A145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8" w:type="dxa"/>
          </w:tcPr>
          <w:p w14:paraId="0B5971A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2059" w:type="dxa"/>
          </w:tcPr>
          <w:p w14:paraId="2F10F33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w:t>
            </w:r>
          </w:p>
        </w:tc>
        <w:tc>
          <w:tcPr>
            <w:tcW w:w="5495" w:type="dxa"/>
          </w:tcPr>
          <w:p w14:paraId="4915778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其他事项：</w:t>
            </w:r>
          </w:p>
          <w:p w14:paraId="1F36E17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(1)本项目代理服务费：</w:t>
            </w:r>
          </w:p>
          <w:p w14:paraId="65F5720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本项目收取代理服务费</w:t>
            </w:r>
          </w:p>
          <w:p w14:paraId="355F212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代理服务费用收取对象：中标/成交供应商</w:t>
            </w:r>
          </w:p>
          <w:p w14:paraId="5AE7A55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服务费收费标准：1)招标代理服务费收费标准：本项目招标代理服务费为17000元。2）收取方式：中标人须在领取中标通知书之前以转账等付款方式一次性付清。3）招标代理服务费缴交银行：兴业银行福州华林支行；开户名称：福建省中会通招标代理有限公司；账 号：117130100100292125。</w:t>
            </w:r>
          </w:p>
          <w:p w14:paraId="634DDD0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(2)其他：</w:t>
            </w:r>
          </w:p>
          <w:p w14:paraId="5C648AC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在递交质疑函时除应提供本招标文件规定的质疑材料外，还须提供福建省政府采购网上公开信息系统本项目的报名截图复印件，否则递交的质疑函将不予受理。在法定质疑期内质疑人须一次性提出针对同一采购程序环节的质疑，二（多）次质疑不予受理。</w:t>
            </w:r>
          </w:p>
        </w:tc>
      </w:tr>
      <w:tr w14:paraId="28B19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27" w:type="dxa"/>
            <w:gridSpan w:val="2"/>
          </w:tcPr>
          <w:p w14:paraId="296BE4B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c>
          <w:tcPr>
            <w:tcW w:w="5495" w:type="dxa"/>
          </w:tcPr>
          <w:p w14:paraId="13402A5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后有投标人须知前附表2，请勿遗漏。</w:t>
            </w:r>
          </w:p>
        </w:tc>
      </w:tr>
    </w:tbl>
    <w:p w14:paraId="4F508F05">
      <w:pPr>
        <w:pStyle w:val="10"/>
        <w:spacing w:line="360" w:lineRule="auto"/>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二、投标人须知前附表2</w:t>
      </w:r>
    </w:p>
    <w:tbl>
      <w:tblPr>
        <w:tblStyle w:val="6"/>
        <w:tblW w:w="85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055"/>
        <w:gridCol w:w="5481"/>
      </w:tblGrid>
      <w:tr w14:paraId="2F1F6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6" w:type="dxa"/>
            <w:gridSpan w:val="2"/>
          </w:tcPr>
          <w:p w14:paraId="123E360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关于电子招标投标活动的专门规定</w:t>
            </w:r>
          </w:p>
        </w:tc>
      </w:tr>
      <w:tr w14:paraId="79F44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55" w:type="dxa"/>
          </w:tcPr>
          <w:p w14:paraId="18E712B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5481" w:type="dxa"/>
          </w:tcPr>
          <w:p w14:paraId="5EDFCC5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编列内容</w:t>
            </w:r>
          </w:p>
        </w:tc>
      </w:tr>
      <w:tr w14:paraId="1D488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055" w:type="dxa"/>
          </w:tcPr>
          <w:p w14:paraId="56E5772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481" w:type="dxa"/>
          </w:tcPr>
          <w:p w14:paraId="3416A78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（1）电子招标投标活动的专门规定适用本项目电子招标投标活动。</w:t>
            </w:r>
          </w:p>
          <w:p w14:paraId="04D6E64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（2）将招标文件</w:t>
            </w:r>
          </w:p>
          <w:p w14:paraId="3686E54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 的内容修正为下列内容：</w:t>
            </w:r>
          </w:p>
          <w:p w14:paraId="3EFECED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 后适用本项目的电子招标投标活动。</w:t>
            </w:r>
          </w:p>
          <w:p w14:paraId="79057B7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（3）将下列内容增列为招标文件的组成部分（以下简称：“增列内容”）适用本项目的电子招标投标活动，若增列内容与招标文件其他章节内容有冲突，应以增列内容为准：</w:t>
            </w:r>
          </w:p>
          <w:p w14:paraId="5F8679C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①电子招标投标活动的具体操作流程以福建省政府采购网上公开信息系统设定的为准。</w:t>
            </w:r>
          </w:p>
          <w:p w14:paraId="770C170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②关于电子投标文件：</w:t>
            </w:r>
          </w:p>
          <w:p w14:paraId="256FDF4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a.投标人应按照福建省政府采购网上公开信息系统设定的评审节点编制电子投标文件，否则资格审查小组、评标委员会将按照不利于投标人的内容进行认定。</w:t>
            </w:r>
          </w:p>
          <w:p w14:paraId="39C7365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160A99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③关于证明材料或资料：</w:t>
            </w:r>
          </w:p>
          <w:p w14:paraId="652FC30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F34F52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7796299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④关于“全称”、“投标人代表签字”及“加盖单位公章”：</w:t>
            </w:r>
          </w:p>
          <w:p w14:paraId="4CEAB4F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a.在电子投标文件中，涉及“全称”和“投标人代表签字”的内容可使用打字录入方式完成。</w:t>
            </w:r>
          </w:p>
          <w:p w14:paraId="2C61212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b.在电子投标文件中，涉及“加盖单位公章”的内容应使用投标人的CA证书完成，否则投标无效。</w:t>
            </w:r>
          </w:p>
          <w:p w14:paraId="4EA10AF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c.在电子投标文件中，若投标人按照本增列内容第④点第b项规定加盖其单位公章，则出现无全称、或投标人代表未签字等情形，不视为投标无效。</w:t>
            </w:r>
          </w:p>
          <w:p w14:paraId="66C1BD3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⑤关于投标人的CA证书：</w:t>
            </w:r>
          </w:p>
          <w:p w14:paraId="6F3546F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a.投标人的CA证书应在系统规定时间内使用CA证书进行电子投标文件的解密操作，逾期未解密的视为放弃投标。</w:t>
            </w:r>
          </w:p>
          <w:p w14:paraId="390BB46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b.投标人的CA证书可采用信封（包括但不限于：信封、档案袋、文件袋等）作为外包装进行单独包装。外包装密封、不密封皆可。</w:t>
            </w:r>
          </w:p>
          <w:p w14:paraId="3D992B3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c.投标人的CA证书或外包装应标记“项目名称、项目编号、投标人的全称”等内容，以方便识别、使用。</w:t>
            </w:r>
          </w:p>
          <w:p w14:paraId="02BCD86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d.投标人的CA证书应能正常、有效使用，否则产生不利后果由投标人承担责任。</w:t>
            </w:r>
          </w:p>
          <w:p w14:paraId="03FF22F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⑥关于投标截止时间过后</w:t>
            </w:r>
          </w:p>
          <w:p w14:paraId="0A60B0C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a.未按招标文件规定提交投标保证金的，其投标将按无效投标处理。</w:t>
            </w:r>
          </w:p>
          <w:p w14:paraId="1C9F90F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b.有下列情形之一的，其投标无效,其保证金不予退还或通过投标保函进行索赔：</w:t>
            </w:r>
          </w:p>
          <w:p w14:paraId="4C8A4EF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b1不同投标人的电子投标文件具有相同内部识别码；</w:t>
            </w:r>
          </w:p>
          <w:p w14:paraId="08123BE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b2不同投标人的投标保证金从同一单位或个人的账户转出；</w:t>
            </w:r>
          </w:p>
          <w:p w14:paraId="032CBE2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b3投标人的投标保证金同一采购包下有其他投标人提交的投标保证金；</w:t>
            </w:r>
          </w:p>
          <w:p w14:paraId="2AE0F3C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b4不同投标人存在串通投标的其他情形。</w:t>
            </w:r>
          </w:p>
          <w:p w14:paraId="6DC08F9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5881BD9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⑧其他：</w:t>
            </w:r>
          </w:p>
          <w:p w14:paraId="347185E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w:t>
            </w:r>
          </w:p>
        </w:tc>
      </w:tr>
    </w:tbl>
    <w:p w14:paraId="10C12EF2">
      <w:pPr>
        <w:pStyle w:val="1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0D1081F7">
      <w:pPr>
        <w:pStyle w:val="10"/>
        <w:spacing w:line="360" w:lineRule="auto"/>
        <w:jc w:val="center"/>
        <w:outlineLvl w:val="1"/>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第三章 投标人须知</w:t>
      </w:r>
    </w:p>
    <w:p w14:paraId="6C8DE712">
      <w:pPr>
        <w:pStyle w:val="10"/>
        <w:spacing w:line="360" w:lineRule="auto"/>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一、总则</w:t>
      </w:r>
    </w:p>
    <w:p w14:paraId="122EF44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1、适用范围</w:t>
      </w:r>
    </w:p>
    <w:p w14:paraId="703F579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1.1适用于招标文件载明项目的政府采购活动（以下简称：“本次采购活动”）。</w:t>
      </w:r>
    </w:p>
    <w:p w14:paraId="3A373EB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2、定义</w:t>
      </w:r>
    </w:p>
    <w:p w14:paraId="2D084DF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2.1“采购标的”指招标文件载明的需要采购的货物或服务。</w:t>
      </w:r>
    </w:p>
    <w:p w14:paraId="6DB1B9A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2.2“潜在投标人”指按照招标文件第一章第7条规定获取招标文件且有意向参加本项目投标的供应商。</w:t>
      </w:r>
    </w:p>
    <w:p w14:paraId="5ACEBB7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2.3“投标人”指按照招标文件第一章第7条规定获取招标文件并参加本项目投标的供应商。</w:t>
      </w:r>
    </w:p>
    <w:p w14:paraId="459C473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2.4“单位负责人”指单位法定代表人或法律、法规规定代表单位行使职权的主要负责人。</w:t>
      </w:r>
    </w:p>
    <w:p w14:paraId="4E29085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2.5“投标人代表”指投标人的单位负责人或“单位负责人授权书”中载明的接受授权方。</w:t>
      </w:r>
    </w:p>
    <w:p w14:paraId="663CD3CC">
      <w:pPr>
        <w:pStyle w:val="10"/>
        <w:spacing w:line="360" w:lineRule="auto"/>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二、投标人</w:t>
      </w:r>
    </w:p>
    <w:p w14:paraId="015F83A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3、合格投标人</w:t>
      </w:r>
    </w:p>
    <w:p w14:paraId="7475914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3.1一般规定</w:t>
      </w:r>
    </w:p>
    <w:p w14:paraId="776AA37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169E9505">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53FF9B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（2）投标人的资格要求：详见招标文件第一章。</w:t>
      </w:r>
    </w:p>
    <w:p w14:paraId="1C61834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3.2若本项目接受联合体投标且投标人为联合体，则联合体各方应遵守本章第3.1条规定，同时还应遵守下列规定：</w:t>
      </w:r>
    </w:p>
    <w:p w14:paraId="5F2A0C1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（1）联合体各方应提交联合体协议，联合体协议应符合招标文件规定。</w:t>
      </w:r>
    </w:p>
    <w:p w14:paraId="0FD5DF9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（2）联合体各方不得再单独参加或与其他供应商另外组成联合体参加同一合同项下的投标。</w:t>
      </w:r>
    </w:p>
    <w:p w14:paraId="5650204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（3）联合体各方应共同与采购人签订政府采购合同，就政府采购合同约定的事项对采购人承担连带责任。</w:t>
      </w:r>
    </w:p>
    <w:p w14:paraId="66E4FFB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F60BCF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（5）联合体一方放弃中标的，视为联合体整体放弃中标，联合体各方承担连带责任。</w:t>
      </w:r>
    </w:p>
    <w:p w14:paraId="0FA5F62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（6）如本项目不接受联合体投标而投标人为联合体的，或者本项目接受联合体投标但投标人组成的联合体不符合本章第3.2条规定的，投标无效。</w:t>
      </w:r>
    </w:p>
    <w:p w14:paraId="78A62C7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4、投标费用</w:t>
      </w:r>
    </w:p>
    <w:p w14:paraId="6C0801F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4.1除招标文件另有规定外，投标人应自行承担其参加本项目投标所涉及的一切费用。</w:t>
      </w:r>
    </w:p>
    <w:p w14:paraId="62FE8879">
      <w:pPr>
        <w:pStyle w:val="10"/>
        <w:spacing w:line="360" w:lineRule="auto"/>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三、招标</w:t>
      </w:r>
    </w:p>
    <w:p w14:paraId="4B5085D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5、招标文件</w:t>
      </w:r>
    </w:p>
    <w:p w14:paraId="2151DF3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5.1招标文件由下述部分组成：</w:t>
      </w:r>
    </w:p>
    <w:p w14:paraId="3F2C079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（1）投标邀请</w:t>
      </w:r>
    </w:p>
    <w:p w14:paraId="5D01517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（2）投标人须知前附表（表1、2）</w:t>
      </w:r>
    </w:p>
    <w:p w14:paraId="48D6553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（3）投标人须知</w:t>
      </w:r>
    </w:p>
    <w:p w14:paraId="2FB0E05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（4）资格审查与评标</w:t>
      </w:r>
    </w:p>
    <w:p w14:paraId="1AF6328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（5）招标内容及要求</w:t>
      </w:r>
    </w:p>
    <w:p w14:paraId="584A151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（6）政府采购合同（参考文本）</w:t>
      </w:r>
    </w:p>
    <w:p w14:paraId="3B4149A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（7）电子投标文件格式</w:t>
      </w:r>
    </w:p>
    <w:p w14:paraId="26588B9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（8）按照招标文件规定作为招标文件组成部分的其他内容（若有）</w:t>
      </w:r>
    </w:p>
    <w:p w14:paraId="32ADBB2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5.2招标文件的澄清或修改</w:t>
      </w:r>
    </w:p>
    <w:p w14:paraId="08C50C8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福建省中会通招标代理有限公司 可对已发出的招标文件进行必要的澄清或修改，但不得对招标文件载明的采购标的和投标人的资格要求进行改变。</w:t>
      </w:r>
    </w:p>
    <w:p w14:paraId="68A436C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（2）除本章第5.2条第（3）款规定情形外，澄清或修改的内容可能影响电子投标文件编制的， 福建省中会通招标代理有限公司 将在投标截止时间至少15个日历日前，在招标文件载明的指定媒体以更正公告的形式发布澄清或修改的内容。不足15个日历日的， 福建省中会通招标代理有限公司 将顺延投标截止时间及开标时间， 福建省中会通招标代理有限公司 和投标人受原投标截止时间及开标时间制约的所有权利和义务均延长至新的投标截止时间及开标时间。</w:t>
      </w:r>
    </w:p>
    <w:p w14:paraId="0B9A0E9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（3）澄清或修改的内容可能改变招标文件载明的采购标的和投标人的资格要求的，本次采购活动结束， 福建省中会通招标代理有限公司 将依法组织后续采购活动（包括但不限于：重新招标、采用其他方式采购等）。</w:t>
      </w:r>
    </w:p>
    <w:p w14:paraId="5075092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6、现场考察或开标前答疑会</w:t>
      </w:r>
    </w:p>
    <w:p w14:paraId="4047508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6.1是否组织现场考察或召开开标前答疑会：详见招标文件第二章。</w:t>
      </w:r>
    </w:p>
    <w:p w14:paraId="3A334EF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7、更正公告</w:t>
      </w:r>
    </w:p>
    <w:p w14:paraId="6F4498C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7.1若 福建省中会通招标代理有限公司 发布更正公告，则更正公告及其所发布的内容或信息（包括但不限于：招标文件的澄清或修改、现场考察或答疑会的有关事宜等）作为招标文件组成部分，对投标人具有约束力。</w:t>
      </w:r>
    </w:p>
    <w:p w14:paraId="186EF67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7.2更正公告作为 福建省中会通招标代理有限公司 通知所有潜在投标人的书面形式。</w:t>
      </w:r>
    </w:p>
    <w:p w14:paraId="2774955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8、终止公告</w:t>
      </w:r>
    </w:p>
    <w:p w14:paraId="42BA985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8.1若出现因重大变故导致采购任务取消情形， 福建省中会通招标代理有限公司 可终止招标并发布终止公告。</w:t>
      </w:r>
    </w:p>
    <w:p w14:paraId="787E780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8.2终止公告作为 福建省中会通招标代理有限公司 通知所有潜在投标人的书面形式。</w:t>
      </w:r>
    </w:p>
    <w:p w14:paraId="601E98AF">
      <w:pPr>
        <w:pStyle w:val="10"/>
        <w:spacing w:line="360" w:lineRule="auto"/>
        <w:ind w:firstLine="480"/>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四、投标</w:t>
      </w:r>
    </w:p>
    <w:p w14:paraId="63A3CBD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9、投标</w:t>
      </w:r>
    </w:p>
    <w:p w14:paraId="0A8E6CD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9.1投标人可对招标文件载明的全部或部分采购包进行投标。</w:t>
      </w:r>
    </w:p>
    <w:p w14:paraId="1DAF3CC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9.2投标人应对同一个采购包内的所有内容进行完整投标，否则投标无效。</w:t>
      </w:r>
    </w:p>
    <w:p w14:paraId="20ABD30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9.3投标人代表只能接受一个投标人的授权参加投标，否则投标无效。</w:t>
      </w:r>
    </w:p>
    <w:p w14:paraId="70206ED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9.4单位负责人为同一人或存在直接控股、管理关系的不同供应商，不得同时参加同一合同项下的投标，否则投标无效。</w:t>
      </w:r>
    </w:p>
    <w:p w14:paraId="7F99A3C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9.5为本项目提供整体设计、规范编制或项目管理、监理、检测等服务的供应商，不得参加本项目除整体设计、规范编制和项目管理、监理、检测等服务外的采购活动，否则投标无效。</w:t>
      </w:r>
    </w:p>
    <w:p w14:paraId="340C381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9.6列入失信被执行人、重大税收违法案件当事人名单、政府采购严重违法失信行为记录名单及其他不符合政府采购法第二十二条规定条件的供应商，不得参加投标，否则投标无效。</w:t>
      </w:r>
    </w:p>
    <w:p w14:paraId="581C75E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9.7有下列情形之一的，视为投标人串通投标，其投标无效：</w:t>
      </w:r>
    </w:p>
    <w:p w14:paraId="101F953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（1）不同投标人的电子投标文件由同一单位或个人编制；</w:t>
      </w:r>
    </w:p>
    <w:p w14:paraId="0E2C5F7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（2）不同投标人委托同一单位或个人办理投标事宜；</w:t>
      </w:r>
    </w:p>
    <w:p w14:paraId="279C039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（3）不同投标人的电子投标文件载明的项目管理成员或联系人员为同一人；</w:t>
      </w:r>
    </w:p>
    <w:p w14:paraId="3A0D8D6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（4）不同投标人的电子投标文件异常一致或投标报价呈规律性差异；</w:t>
      </w:r>
    </w:p>
    <w:p w14:paraId="546137E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（5）不同投标人的电子投标文件相互混装；</w:t>
      </w:r>
    </w:p>
    <w:p w14:paraId="73BA6EC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（6）不同投标人的投标保证金从同一单位或个人的账户转出；</w:t>
      </w:r>
    </w:p>
    <w:p w14:paraId="036E439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（7）有关法律、法规和规章及招标文件规定的其他串通投标情形。</w:t>
      </w:r>
    </w:p>
    <w:p w14:paraId="0C25C61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10、电子投标文件</w:t>
      </w:r>
    </w:p>
    <w:p w14:paraId="3654FBC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10.1电子投标文件的编制</w:t>
      </w:r>
    </w:p>
    <w:p w14:paraId="4846AE5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（1）投标人应先仔细阅读招标文件的全部内容后，再进行电子投标文件的编制。</w:t>
      </w:r>
    </w:p>
    <w:p w14:paraId="2DA6EA2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（2）电子投标文件应按照本章第10.2条规定编制其组成部分。</w:t>
      </w:r>
    </w:p>
    <w:p w14:paraId="6F3A136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074067C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10.2电子投标文件由下述部分组成：</w:t>
      </w:r>
    </w:p>
    <w:p w14:paraId="55E41C7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（1）资格及资信证明部分</w:t>
      </w:r>
    </w:p>
    <w:p w14:paraId="72D22D4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①投标函</w:t>
      </w:r>
    </w:p>
    <w:p w14:paraId="1AE2EEE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②投标人的资格及资信证明文件</w:t>
      </w:r>
    </w:p>
    <w:p w14:paraId="1032445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③投标保证金</w:t>
      </w:r>
    </w:p>
    <w:p w14:paraId="3C6C0FB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（2）报价部分</w:t>
      </w:r>
    </w:p>
    <w:p w14:paraId="4D54B31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①开标（报价）一览表</w:t>
      </w:r>
    </w:p>
    <w:p w14:paraId="2506CD3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②投标（响应）报价明细表</w:t>
      </w:r>
    </w:p>
    <w:p w14:paraId="6AC30E6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③招标文件规定的价格扣除证明材料（若有）</w:t>
      </w:r>
    </w:p>
    <w:p w14:paraId="246EBB9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④招标文件规定的加分证明材料（若有）</w:t>
      </w:r>
    </w:p>
    <w:p w14:paraId="1AAC256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（3）技术商务部分</w:t>
      </w:r>
    </w:p>
    <w:p w14:paraId="4280538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①标的说明一览表</w:t>
      </w:r>
    </w:p>
    <w:p w14:paraId="3245EC7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②技术和服务要求响应表</w:t>
      </w:r>
    </w:p>
    <w:p w14:paraId="41982CF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③商务条件响应表</w:t>
      </w:r>
    </w:p>
    <w:p w14:paraId="40D4433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④投标人提交的其他资料（若有）</w:t>
      </w:r>
    </w:p>
    <w:p w14:paraId="08E3EEA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⑤招标文件规定作为电子投标文件组成部分的其他内容（若有）</w:t>
      </w:r>
    </w:p>
    <w:p w14:paraId="1F867C8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10.3电子投标文件的语言</w:t>
      </w:r>
    </w:p>
    <w:p w14:paraId="678E9D5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（1）除招标文件另有规定外，电子投标文件应使用中文文本，若有不同文本，以中文文本为准。</w:t>
      </w:r>
    </w:p>
    <w:p w14:paraId="1BE58B3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901319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10.4投标文件的份数：详见招标文件第二章。</w:t>
      </w:r>
    </w:p>
    <w:p w14:paraId="13F44A7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10.5电子投标文件的格式</w:t>
      </w:r>
    </w:p>
    <w:p w14:paraId="29570B7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（1）除招标文件另有规定外，电子投标文件应使用招标文件第七章规定的格式。</w:t>
      </w:r>
    </w:p>
    <w:p w14:paraId="1DC48E6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（2）除招标文件另有规定外，电子投标文件应使用不能擦去的墨料或墨水打印、书写或复印。</w:t>
      </w:r>
    </w:p>
    <w:p w14:paraId="0B5575C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（3）除招标文件另有规定外，电子投标文件应使用人民币作为计量货币。</w:t>
      </w:r>
    </w:p>
    <w:p w14:paraId="4C9378B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（4）除招标文件另有规定外，签署、盖章应遵守下列规定：</w:t>
      </w:r>
    </w:p>
    <w:p w14:paraId="7D275DD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①电子投标文件应加盖投标人的单位公章。若投标人代表为单位授权的委托代理人，应提供“单位授权书”。</w:t>
      </w:r>
    </w:p>
    <w:p w14:paraId="6A624BE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②电子投标文件应没有涂改或行间插字，除非这些改动是根据 福建省中会通招标代理有限公司 的指示进行的，或是为改正投标人造成的应修改的错误而进行的。若有前述改动，应按照下列规定之一对改动处进行处理：</w:t>
      </w:r>
    </w:p>
    <w:p w14:paraId="3AE2B43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a.投标人代表签字确认；</w:t>
      </w:r>
    </w:p>
    <w:p w14:paraId="71ED034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b.加盖投标人的单位公章或校正章。</w:t>
      </w:r>
    </w:p>
    <w:p w14:paraId="1FFB891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10.6投标报价</w:t>
      </w:r>
    </w:p>
    <w:p w14:paraId="5622829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（1）投标报价超出最高限价将导致投标无效。</w:t>
      </w:r>
    </w:p>
    <w:p w14:paraId="7528D23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（2）最高限价由采购人根据价格测算情况，在预算金额的额度内合理设定。最高限价不得超出预算金额。</w:t>
      </w:r>
    </w:p>
    <w:p w14:paraId="1C39191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（3）除招标文件另有规定外，电子投标文件不能出现任何选择性的投标报价，即每一个采购包和品目号的采购标的都只能有一个投标报价。任何选择性的投标报价将导致投标无效。</w:t>
      </w:r>
    </w:p>
    <w:p w14:paraId="40C520C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10.7分包</w:t>
      </w:r>
    </w:p>
    <w:p w14:paraId="087A48A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（1）是否允许中标人将本项目的非主体、非关键性工作进行分包：详见招标文件第二章。</w:t>
      </w:r>
    </w:p>
    <w:p w14:paraId="68E90FD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397C7A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（3）招标文件允许中标人将非主体、非关键性工作进行分包的项目，有下列情形之一的，中标人不得分包：</w:t>
      </w:r>
    </w:p>
    <w:p w14:paraId="6B29CDA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①电子投标文件中未载明分包承担主体；</w:t>
      </w:r>
    </w:p>
    <w:p w14:paraId="2FDA0DE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②电子投标文件载明的分包承担主体不具备相应资质条件；</w:t>
      </w:r>
    </w:p>
    <w:p w14:paraId="300EA66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③电子投标文件载明的分包承担主体拟再次分包；</w:t>
      </w:r>
    </w:p>
    <w:p w14:paraId="575ECA0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④享受中小企业扶持政策获得政府采购合同的，小微企业不得将合同分包给大中型企业，中型企业不得将合同分包给大型企业。</w:t>
      </w:r>
    </w:p>
    <w:p w14:paraId="2E2945F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10.8投标有效期</w:t>
      </w:r>
    </w:p>
    <w:p w14:paraId="1572CA2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（1）招标文件载明的投标有效期：详见招标文件第二章。</w:t>
      </w:r>
    </w:p>
    <w:p w14:paraId="172ADD4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（2）电子投标文件承诺的投标有效期不得少于招标文件载明的投标有效期，否则投标无效。</w:t>
      </w:r>
    </w:p>
    <w:p w14:paraId="05A93F1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（3）根据本次采购活动的需要， 福建省中会通招标代理有限公司 可于投标有效期届满之前书面要求投标人延长投标有效期，投标人应在 福建省中会通招标代理有限公司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9FCF04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10.9投标保证金</w:t>
      </w:r>
    </w:p>
    <w:p w14:paraId="2C6E4F9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（1）投标保证金作为投标人按照招标文件规定履行相应投标责任、义务的约束及担保。</w:t>
      </w:r>
    </w:p>
    <w:p w14:paraId="66DB5D5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（2）投标人以电子保函形式提交投标保证金的，保函的有效期应等于或长于电子投标文件承诺的投标有效期，否则投标无效。</w:t>
      </w:r>
    </w:p>
    <w:p w14:paraId="4AD365F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（3）提交</w:t>
      </w:r>
    </w:p>
    <w:p w14:paraId="6F91BE3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1580C01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C708834">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③其他形式：</w:t>
      </w:r>
    </w:p>
    <w:p w14:paraId="03FED5C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w:t>
      </w:r>
    </w:p>
    <w:p w14:paraId="6F8074C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④若本项目接受联合体投标且投标人为联合体，则联合体中的牵头方应按照本章第10.9条第（3）款第①、②、③点规定提交投标保证金。</w:t>
      </w:r>
    </w:p>
    <w:p w14:paraId="33A4F87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※除招标文件另有规定外，未按照上述规定提交投标保证金将导致资格审查不合格。</w:t>
      </w:r>
    </w:p>
    <w:p w14:paraId="4FA985F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（4）退还</w:t>
      </w:r>
    </w:p>
    <w:p w14:paraId="1C654B7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①在投标截止时间前撤回已提交的电子投标文件的投标人，其投标保证金将在 福建省中会通招标代理有限公司 收到投标人书面撤回通知之日起5个工作日内退回原账户。</w:t>
      </w:r>
    </w:p>
    <w:p w14:paraId="7C40F60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②未中标人的投标保证金将在中标通知书发出之日起5个工作日内退回原账户。</w:t>
      </w:r>
    </w:p>
    <w:p w14:paraId="5060A82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③中标人的投标保证金将在政府采购合同签订之日起5个工作日内退回原账户；合同签订之日以福建省政府采购网上公开信息系统记载的为准。</w:t>
      </w:r>
    </w:p>
    <w:p w14:paraId="39592FE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④终止招标的， 福建省中会通招标代理有限公司 将在终止公告发布之日起5个工作日内退回已收取的投标保证金及其在银行产生的孳息。</w:t>
      </w:r>
    </w:p>
    <w:p w14:paraId="2B846CC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⑤除招标文件另有规定外，质疑或投诉涉及的投标人，若投标保证金尚未退还，则待质疑或投诉处理完毕后不计利息原额退还。</w:t>
      </w:r>
    </w:p>
    <w:p w14:paraId="0594FF4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※本章第10.9条第（4）款第①、②、③点规定的投标保证金退还时限不包括因投标人自身原因导致无法及时退还而增加的时间。</w:t>
      </w:r>
    </w:p>
    <w:p w14:paraId="65E36AC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E8803D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（6）有下列情形之一的，投标保证金将不予退还或通过投标保函进行索赔：</w:t>
      </w:r>
    </w:p>
    <w:p w14:paraId="59921E2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①投标人串通投标；</w:t>
      </w:r>
    </w:p>
    <w:p w14:paraId="292BC18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②投标人提供虚假材料；</w:t>
      </w:r>
    </w:p>
    <w:p w14:paraId="77C52BE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③投标人采取不正当手段诋毁、排挤其他投标人；</w:t>
      </w:r>
    </w:p>
    <w:p w14:paraId="6C88715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④投标截止时间后，投标人在投标有效期内撤销电子投标文件；</w:t>
      </w:r>
    </w:p>
    <w:p w14:paraId="4CEF027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⑤招标文件规定的其他不予退还情形；</w:t>
      </w:r>
    </w:p>
    <w:p w14:paraId="14F466E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⑥中标人有下列情形之一的：</w:t>
      </w:r>
    </w:p>
    <w:p w14:paraId="06CDECC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a.除不可抗力外，因中标人自身原因未在中标通知书要求的期限内与采购人签订政府采购合同；</w:t>
      </w:r>
    </w:p>
    <w:p w14:paraId="3605921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b.未按照招标文件、投标文件的约定签订政府采购合同或提交履约保证金。</w:t>
      </w:r>
    </w:p>
    <w:p w14:paraId="35748AF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※若上述投标保证金不予退还情形给采购人（采购代理机构）造成损失，则投标人还要承担相应的赔偿责任。</w:t>
      </w:r>
    </w:p>
    <w:p w14:paraId="710F5DE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10.10电子投标文件的提交</w:t>
      </w:r>
    </w:p>
    <w:p w14:paraId="07445FB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（1）一个投标人只能提交一个电子投标文件，并按照招标文件第一章规定在系统上完成上传、解密操作。</w:t>
      </w:r>
    </w:p>
    <w:p w14:paraId="6E57EA7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10.11电子投标文件的补充、修改或撤回</w:t>
      </w:r>
    </w:p>
    <w:p w14:paraId="0E0F153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（1）投标截止时间前，投标人可对所提交的电子投标文件进行补充、修改或撤回，并书面通知 福建省中会通招标代理有限公司 。</w:t>
      </w:r>
    </w:p>
    <w:p w14:paraId="011D79A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（2）补充、修改的内容应按照本章第10.5条第（4）款规定进行签署、盖章，并按照本章第10.10条规定提交，否则将被拒收。</w:t>
      </w:r>
    </w:p>
    <w:p w14:paraId="71846CF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※按照上述规定提交的补充、修改内容作为电子投标文件组成部分。</w:t>
      </w:r>
    </w:p>
    <w:p w14:paraId="35B635A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10.12除招标文件另有规定外，有下列情形之一的，投标无效：</w:t>
      </w:r>
    </w:p>
    <w:p w14:paraId="0C16F05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（1）电子投标文件未按照招标文件要求签署、盖章；</w:t>
      </w:r>
    </w:p>
    <w:p w14:paraId="2CEADDA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（2）不符合招标文件中规定的资格要求；</w:t>
      </w:r>
    </w:p>
    <w:p w14:paraId="18C227A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（3）投标报价超过招标文件中规定的预算金额或最高限价；</w:t>
      </w:r>
    </w:p>
    <w:p w14:paraId="494E0E6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（4）电子投标文件含有采购人不能接受的附加条件；</w:t>
      </w:r>
    </w:p>
    <w:p w14:paraId="23F2187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（5）有关法律、法规和规章及招标文件规定的其他无效情形。</w:t>
      </w:r>
    </w:p>
    <w:p w14:paraId="69BE54AA">
      <w:pPr>
        <w:pStyle w:val="10"/>
        <w:spacing w:line="360" w:lineRule="auto"/>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五、开标</w:t>
      </w:r>
    </w:p>
    <w:p w14:paraId="4DA3128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11、开标</w:t>
      </w:r>
    </w:p>
    <w:p w14:paraId="4C6A4BD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 福建省中会通招标代理有限公司 将在招标文件载明的开标时间及地点主持召开开标会，并邀请投标人参加。</w:t>
      </w:r>
    </w:p>
    <w:p w14:paraId="1753D47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11.2开标会的主持人、唱标人、记录人及其他工作人员（若有）均由 福建省中会通招标代理有限公司 派出，现场监督人员（若有）可由有关方面派出。</w:t>
      </w:r>
    </w:p>
    <w:p w14:paraId="7A3E9C2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D4528C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11.4开标会应遵守下列规定：</w:t>
      </w:r>
    </w:p>
    <w:p w14:paraId="4453371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4AE545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92BF42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（3）唱标结束后，参加现场开标会的投标人代表应对开标记录进行签字确认，通过远程参与开标流程的投标人须在系统远程签章开启后，在系统规定时间内对开标结果进行签章确认。</w:t>
      </w:r>
    </w:p>
    <w:p w14:paraId="23EAFB4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77F4E1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（5）若投标人未到开标现场参加开标会，也未通过远程参加开标会的，视同认可开标结果。</w:t>
      </w:r>
    </w:p>
    <w:p w14:paraId="4A74AAC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福建省中会通招标代理有限公司 提出任何疑义或要求（包括质疑）。</w:t>
      </w:r>
    </w:p>
    <w:p w14:paraId="71F4CF0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11.5投标截止时间后，参加投标的投标人不足三家的，不进行开标。同时，本次采购活动结束， 福建省中会通招标代理有限公司 将依法组织后续采购活动（包括但不限于：重新招标、采用其他方式采购等）。</w:t>
      </w:r>
    </w:p>
    <w:p w14:paraId="265D51E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11.6投标截止时间后撤销投标的处理</w:t>
      </w:r>
    </w:p>
    <w:p w14:paraId="3B8565E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投标截止时间后，投标人在投标有效期内撤销投标的，其撤销投标的行为无效。</w:t>
      </w:r>
    </w:p>
    <w:p w14:paraId="29C0E4EB">
      <w:pPr>
        <w:pStyle w:val="10"/>
        <w:spacing w:line="360" w:lineRule="auto"/>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六、中标与政府采购合同</w:t>
      </w:r>
    </w:p>
    <w:p w14:paraId="19BEF7B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12、中标</w:t>
      </w:r>
    </w:p>
    <w:p w14:paraId="2089C66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12.1本项目推荐的中标候选人家数：详见招标文件第二章。</w:t>
      </w:r>
    </w:p>
    <w:p w14:paraId="31E60F9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12.2本项目中标人的确定：详见招标文件第二章。</w:t>
      </w:r>
    </w:p>
    <w:p w14:paraId="2B39BCE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12.3中标公告</w:t>
      </w:r>
    </w:p>
    <w:p w14:paraId="237404B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（1）中标人确定之日起2个工作日内， 福建省中会通招标代理有限公司 将在招标文件载明的指定媒体以中标公告的形式发布中标结果。</w:t>
      </w:r>
    </w:p>
    <w:p w14:paraId="085CC71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（2）中标公告的公告期限为1个工作日。</w:t>
      </w:r>
    </w:p>
    <w:p w14:paraId="780C021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12.4中标通知书</w:t>
      </w:r>
    </w:p>
    <w:p w14:paraId="57F46ED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（1）中标公告发布的同时， 福建省中会通招标代理有限公司 将向中标人发出中标通知书。</w:t>
      </w:r>
    </w:p>
    <w:p w14:paraId="75F7129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（2）中标通知书发出后，采购人不得违法改变中标结果，中标人无正当理由不得放弃中标。</w:t>
      </w:r>
    </w:p>
    <w:p w14:paraId="43A990D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13、政府采购合同</w:t>
      </w:r>
    </w:p>
    <w:p w14:paraId="7486597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D3C4C5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13.2签订时限：详见须知前附表1的13.2。</w:t>
      </w:r>
    </w:p>
    <w:p w14:paraId="29AD9BD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13.3政府采购合同的履行、违约责任和解决争议的方法等适用民法典。</w:t>
      </w:r>
    </w:p>
    <w:p w14:paraId="22D4515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13.4采购人与中标人应根据政府采购合同的约定依法履行合同义务。</w:t>
      </w:r>
    </w:p>
    <w:p w14:paraId="584580B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13.5政府采购合同履行过程中，采购人若需追加与合同标的相同的货物或服务，则追加采购金额不得超过原合同采购金额的10%。</w:t>
      </w:r>
    </w:p>
    <w:p w14:paraId="3DB4AF2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13.6中标人在政府采购合同履行过程中应遵守有关法律、法规和规章的强制性规定（即使前述强制性规定有可能在招标文件中未予列明）。</w:t>
      </w:r>
    </w:p>
    <w:p w14:paraId="7183DA9A">
      <w:pPr>
        <w:pStyle w:val="10"/>
        <w:spacing w:line="360" w:lineRule="auto"/>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七、询问、质疑与投诉</w:t>
      </w:r>
    </w:p>
    <w:p w14:paraId="4DD0470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14、询问</w:t>
      </w:r>
    </w:p>
    <w:p w14:paraId="75B34BB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14.1潜在投标人或投标人对本次采购活动的有关事项若有疑问，可向 福建省中会通招标代理有限公司 提出询问， 福建省中会通招标代理有限公司 将按照政府采购法及实施条例的有关规定进行答复。</w:t>
      </w:r>
    </w:p>
    <w:p w14:paraId="04F9876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15、质疑</w:t>
      </w:r>
    </w:p>
    <w:p w14:paraId="20B3C90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1CAF537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（1）对招标文件提出质疑的，质疑人应为潜在投标人，且两者的身份、名称等均应保持一致。对采购过程、结果提出质疑的，质疑人应为投标人，且两者的身份、名称等均应保持一致。</w:t>
      </w:r>
    </w:p>
    <w:p w14:paraId="63EFC3C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（2）质疑人应按照招标文件第二章规定方式提交质疑函。</w:t>
      </w:r>
    </w:p>
    <w:p w14:paraId="2C038DE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（3）质疑函应包括下列主要内容：</w:t>
      </w:r>
    </w:p>
    <w:p w14:paraId="1A623F8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①质疑人的基本信息，至少包括：全称、地址、邮政编码等；</w:t>
      </w:r>
    </w:p>
    <w:p w14:paraId="68E55F4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②所质疑项目的基本信息，至少包括：项目编号、项目名称等；</w:t>
      </w:r>
    </w:p>
    <w:p w14:paraId="3EE51C0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③所质疑的具体事项（以下简称：“质疑事项”）；</w:t>
      </w:r>
    </w:p>
    <w:p w14:paraId="29B0273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④针对质疑事项提出的明确请求，前述明确请求指质疑人提出质疑的目的以及希望 福建省中会通招标代理有限公司 对其质疑作出的处理结果，如：暂停招标投标活动、修改招标文件、停止或纠正违法违规行为、中标结果无效、废标、重新招标等；</w:t>
      </w:r>
    </w:p>
    <w:p w14:paraId="1F59DBC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⑤针对质疑事项导致质疑人自身权益受到损害的必要证明材料，至少包括：</w:t>
      </w:r>
    </w:p>
    <w:p w14:paraId="24A7E19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a.质疑人代表的身份证明材料：</w:t>
      </w:r>
    </w:p>
    <w:p w14:paraId="4EF54DF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17B2A3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a2若本项目接受自然人投标且质疑人为自然人的，提供本人的身份证复印件。</w:t>
      </w:r>
    </w:p>
    <w:p w14:paraId="63369DA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b.其他证明材料（即事实依据和必要的法律依据）包括但不限于下列材料：</w:t>
      </w:r>
    </w:p>
    <w:p w14:paraId="1153234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b1所质疑的具体事项是与自己有利害关系的证明材料；</w:t>
      </w:r>
    </w:p>
    <w:p w14:paraId="7075106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b2质疑函所述事实存在的证明材料，如：采购文件、采购过程或中标结果违法违规或不符合采购文件要求等证明材料；</w:t>
      </w:r>
    </w:p>
    <w:p w14:paraId="4702316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b3依法应终止采购程序的证明材料；</w:t>
      </w:r>
    </w:p>
    <w:p w14:paraId="74D94E5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b4应重新采购的证明材料；</w:t>
      </w:r>
    </w:p>
    <w:p w14:paraId="075000C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b5采购文件、采购过程或中标、成交结果损害自己合法权益的证明材料等；</w:t>
      </w:r>
    </w:p>
    <w:p w14:paraId="70F4795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507059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⑥质疑人代表及其联系方法的信息，至少包括：姓名、手机、电子信箱、邮寄地址等。</w:t>
      </w:r>
    </w:p>
    <w:p w14:paraId="015054B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⑦提出质疑的日期。</w:t>
      </w:r>
    </w:p>
    <w:p w14:paraId="2B15830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※质疑人为法人或其他组织的，质疑函应由单位负责人或委托代理人签字或盖章，并加盖投标人的单位公章。质疑人为自然人的，质疑函应由本人签字。</w:t>
      </w:r>
    </w:p>
    <w:p w14:paraId="3484E74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15.2对不符合本章第15.1条规定的质疑，将按照下列规定进行处理：</w:t>
      </w:r>
    </w:p>
    <w:p w14:paraId="0006C57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（1）不符合其中第（1）、（2）条规定的，书面告知质疑人不予受理及其理由。</w:t>
      </w:r>
    </w:p>
    <w:p w14:paraId="26AEFA8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（2）不符合其中第（3）条规定的，书面告知质疑人修改、补充后在规定时限内重新提交质疑函。</w:t>
      </w:r>
    </w:p>
    <w:p w14:paraId="28739AE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15.3对符合本章第15.1条规定的质疑，将按照政府采购法及实施条例、政府采购质疑和投诉办法的有关规定进行答复。</w:t>
      </w:r>
    </w:p>
    <w:p w14:paraId="021C137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15.4招标文件的质疑：详见招标文件第二章。</w:t>
      </w:r>
    </w:p>
    <w:p w14:paraId="35CCEDE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16、投诉</w:t>
      </w:r>
    </w:p>
    <w:p w14:paraId="10CD65B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25BAD67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16.2投诉应有明确的请求和必要的证明材料，投诉的事项不得超出已质疑事项的范围。</w:t>
      </w:r>
    </w:p>
    <w:p w14:paraId="798EBF74">
      <w:pPr>
        <w:pStyle w:val="10"/>
        <w:spacing w:line="360" w:lineRule="auto"/>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八、政府采购政策</w:t>
      </w:r>
    </w:p>
    <w:p w14:paraId="3D062B5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17、政府采购政策由财政部根据国家的经济和社会发展政策并会同国家有关部委制定，包括但不限于下列具体政策要求：</w:t>
      </w:r>
    </w:p>
    <w:p w14:paraId="43433A76">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17.1本国产品与非本国产品相关约定</w:t>
      </w:r>
    </w:p>
    <w:p w14:paraId="465EA05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17.1.1本国产品</w:t>
      </w:r>
    </w:p>
    <w:p w14:paraId="7846D79B">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264BCE8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A55344B">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（3）对本国产品的支持政策 政府采购活动中既有本国产品又有非本国产品参与竞争的，依法对本国产品给予价格评审优惠，对本国产品的报价给予20%的价格扣除，用扣除后的价格参与评审。</w:t>
      </w:r>
    </w:p>
    <w:p w14:paraId="188DB4C6">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B5362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17.1.2 非本国产品</w:t>
      </w:r>
    </w:p>
    <w:p w14:paraId="7CE031C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17.1.2.1 进口产品：指通过中国海关报关验放进入中国境内且产自关境外的产品，其中：</w:t>
      </w:r>
    </w:p>
    <w:p w14:paraId="531A00A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CD31CC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（2）凡在海关特殊监管区域内企业生产或加工（包括从境外进口料件）销往境内其他地区的产品，不作为政府采购项下进口产品。</w:t>
      </w:r>
    </w:p>
    <w:p w14:paraId="0DC3365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（3）对从境外进入海关特殊监管区域，再经办理报关手续后从海关特殊监管区进入境内其他地区的产品，认定为进口产品。</w:t>
      </w:r>
    </w:p>
    <w:p w14:paraId="078FC02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（4）招标文件列明不允许或未列明允许进口产品参加投标的，均视为拒绝进口产品参加投标。</w:t>
      </w:r>
    </w:p>
    <w:p w14:paraId="6F33A60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17.1.2.2 其它非本国产品：指非进口产品且不符合本国产品标准的产品。</w:t>
      </w:r>
    </w:p>
    <w:p w14:paraId="070338C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2ED0FD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47C78E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（1）中小企业指符合下列条件的中型、小型、微型企业：</w:t>
      </w:r>
    </w:p>
    <w:p w14:paraId="17187D8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007C13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②符合中小企业划分标准的个体工商户，在政府采购活动中视同中小企业。</w:t>
      </w:r>
    </w:p>
    <w:p w14:paraId="60013D9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（2）在政府采购活动中，供应商提供的货物、工程或者服务符合下列情形的，享受本办法规定的中小企业扶持政策：</w:t>
      </w:r>
    </w:p>
    <w:p w14:paraId="17B3393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①在货物采购项目中，货物由中小企业制造，即货物由中小企业生产且使用该中小企业商号或者注册商标；</w:t>
      </w:r>
    </w:p>
    <w:p w14:paraId="32F003D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②在工程采购项目中，工程由中小企业承建，即工程施工单位为中小企业；</w:t>
      </w:r>
    </w:p>
    <w:p w14:paraId="17D14C6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③在服务采购项目中，服务由中小企业承接，即提供服务的人员为中小企业依照《中华人民共和国劳动合同法》订立劳动合同的从业人员。</w:t>
      </w:r>
    </w:p>
    <w:p w14:paraId="668BB45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在货物采购项目中，供应商提供的货物既有中小企业制造货物，也有大型企业制造货物的，不享受本办法规定的中小企业扶持政策。</w:t>
      </w:r>
    </w:p>
    <w:p w14:paraId="01360E0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以联合体形式参加政府采购活动，联合体各方均为中小企业的，联合体视同中小企业。其中，联合体各方均为小微企业的，联合体视同小微企业。</w:t>
      </w:r>
    </w:p>
    <w:p w14:paraId="0A6361E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（3）投标人应当按照招标文件明确的采购标的对应行业的划分标准出具中小企业声明函。</w:t>
      </w:r>
    </w:p>
    <w:p w14:paraId="033FE78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1540CF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F78572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①监狱企业参加采购活动时，应提供由省级以上监狱管理局、戒毒管理局（含新疆生产建设兵团）出具的属于监狱企业的证明文件。</w:t>
      </w:r>
    </w:p>
    <w:p w14:paraId="55D3296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②监狱企业视同小型、微型企业。</w:t>
      </w:r>
    </w:p>
    <w:p w14:paraId="69806AB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（5）残疾人福利性单位指同时符合下列条件的单位：</w:t>
      </w:r>
    </w:p>
    <w:p w14:paraId="42EB7EB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①安置的残疾人占本单位在职职工人数的比例不低于25%（含25%），并且安置的残疾人人数不少于10人（含10人）；</w:t>
      </w:r>
    </w:p>
    <w:p w14:paraId="1B9200D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②依法与安置的每位残疾人签订了一年以上（含一年）的劳动合同或服务协议；</w:t>
      </w:r>
    </w:p>
    <w:p w14:paraId="6EC5825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③为安置的每位残疾人按月足额缴纳了基本养老保险、基本医疗保险、失业保险、工伤保险和生育保险等社会保险费；</w:t>
      </w:r>
    </w:p>
    <w:p w14:paraId="322739A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④通过银行等金融机构向安置的每位残疾人，按月支付了不低于单位所在区县适用的经省级人民政府批准的月最低工资标准的工资；</w:t>
      </w:r>
    </w:p>
    <w:p w14:paraId="7D35683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⑤提供本单位制造的货物、承担的工程或服务，或提供其他残疾人福利性单位制造的货物（不包括使用非残疾人福利性单位注册商标的货物）。</w:t>
      </w:r>
    </w:p>
    <w:p w14:paraId="19BCB73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17D330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0BD1B6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17.4信用记录指由财政部确定的有关网站提供的相关主体信用信息。信用记录的查询及使用应符合财政部文件（财库[2016]125号）规定。</w:t>
      </w:r>
    </w:p>
    <w:p w14:paraId="06ED921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17.5为落实政府采购政策需满足的要求：详见招标文件第一章。</w:t>
      </w:r>
    </w:p>
    <w:p w14:paraId="6B582C6A">
      <w:pPr>
        <w:pStyle w:val="10"/>
        <w:spacing w:line="360" w:lineRule="auto"/>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九、本项目的有关信息</w:t>
      </w:r>
    </w:p>
    <w:p w14:paraId="06D3305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18、本项目的有关信息，包括但不限于：招标公告、更正公告（若有）、招标文件、招标文件的澄清或修改（若有）、中标公告、终止公告（若有）、废标公告（若有）等都将在招标文件载明的指定媒体发布。</w:t>
      </w:r>
    </w:p>
    <w:p w14:paraId="3124651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18.1指定媒体：详见招标文件第二章。</w:t>
      </w:r>
    </w:p>
    <w:p w14:paraId="1360915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18.2本项目的潜在投标人或投标人应随时关注指定媒体，否则产生不利后果由其自行承担。</w:t>
      </w:r>
    </w:p>
    <w:p w14:paraId="58C793BF">
      <w:pPr>
        <w:pStyle w:val="10"/>
        <w:spacing w:line="360" w:lineRule="auto"/>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十、其他事项</w:t>
      </w:r>
    </w:p>
    <w:p w14:paraId="6810C0C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19、其他事项：</w:t>
      </w:r>
    </w:p>
    <w:p w14:paraId="11DB79D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4050CD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19.2其他：详见招标文件第二章。</w:t>
      </w:r>
    </w:p>
    <w:p w14:paraId="51B1229B">
      <w:pPr>
        <w:pStyle w:val="1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50103BE0">
      <w:pPr>
        <w:pStyle w:val="10"/>
        <w:spacing w:line="360" w:lineRule="auto"/>
        <w:jc w:val="center"/>
        <w:outlineLvl w:val="1"/>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第四章 资格审查与评标</w:t>
      </w:r>
    </w:p>
    <w:p w14:paraId="43A96558">
      <w:pPr>
        <w:pStyle w:val="10"/>
        <w:spacing w:line="360" w:lineRule="auto"/>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一、资格审查</w:t>
      </w:r>
    </w:p>
    <w:p w14:paraId="2DD0152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1、开标结束后，由 福建省中会通招标代理有限公司 负责资格审查小组的组建及资格审查工作的组织。</w:t>
      </w:r>
    </w:p>
    <w:p w14:paraId="4102AB5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1.1资格审查小组</w:t>
      </w:r>
    </w:p>
    <w:p w14:paraId="6FF4AF1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审查小组由3人组成，并负责具体审查事务，其中由采购人派出的采购人代表至少1人，由福建省中会通招标代理有限公司派出的工作人员至少1人，其余1人可为采购人代表或福建省中会通招标代理有限公司的工作人员。</w:t>
      </w:r>
    </w:p>
    <w:p w14:paraId="353F833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1.2资格审查的依据是招标文件和电子投标文件。</w:t>
      </w:r>
    </w:p>
    <w:p w14:paraId="08CB49E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1.3资格审查的范围及内容：电子投标文件（资格及资信证明部分），具体如下：</w:t>
      </w:r>
    </w:p>
    <w:p w14:paraId="0997EB8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（1）“投标函”；</w:t>
      </w:r>
    </w:p>
    <w:p w14:paraId="5D701AC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（2）“投标人的资格及资信证明文件”</w:t>
      </w:r>
    </w:p>
    <w:p w14:paraId="12113E0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①一般资格证明文件：</w:t>
      </w:r>
    </w:p>
    <w:p w14:paraId="480CA0B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3322"/>
        <w:gridCol w:w="4153"/>
      </w:tblGrid>
      <w:tr w14:paraId="3125E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58B18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序号</w:t>
            </w:r>
          </w:p>
        </w:tc>
        <w:tc>
          <w:tcPr>
            <w:tcW w:w="3322" w:type="dxa"/>
          </w:tcPr>
          <w:p w14:paraId="53A0950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资格审查要求概况</w:t>
            </w:r>
          </w:p>
        </w:tc>
        <w:tc>
          <w:tcPr>
            <w:tcW w:w="4153" w:type="dxa"/>
          </w:tcPr>
          <w:p w14:paraId="6BCCD65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评审点具体描述</w:t>
            </w:r>
          </w:p>
        </w:tc>
      </w:tr>
      <w:tr w14:paraId="7DA05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F82C9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322" w:type="dxa"/>
          </w:tcPr>
          <w:p w14:paraId="5915973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单位授权书</w:t>
            </w:r>
          </w:p>
        </w:tc>
        <w:tc>
          <w:tcPr>
            <w:tcW w:w="4153" w:type="dxa"/>
          </w:tcPr>
          <w:p w14:paraId="6355D87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6F11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6D898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3322" w:type="dxa"/>
          </w:tcPr>
          <w:p w14:paraId="118B4F9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营业执照等证明文件</w:t>
            </w:r>
          </w:p>
        </w:tc>
        <w:tc>
          <w:tcPr>
            <w:tcW w:w="4153" w:type="dxa"/>
          </w:tcPr>
          <w:p w14:paraId="0C12B08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B104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C4FCD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3322" w:type="dxa"/>
          </w:tcPr>
          <w:p w14:paraId="59E09F9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提供财务状况报告(财务报告、或资信证明）</w:t>
            </w:r>
          </w:p>
        </w:tc>
        <w:tc>
          <w:tcPr>
            <w:tcW w:w="4153" w:type="dxa"/>
          </w:tcPr>
          <w:p w14:paraId="4E60F1F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6AD4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C9173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3322" w:type="dxa"/>
          </w:tcPr>
          <w:p w14:paraId="63CBF68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依法缴纳税收证明材料</w:t>
            </w:r>
          </w:p>
        </w:tc>
        <w:tc>
          <w:tcPr>
            <w:tcW w:w="4153" w:type="dxa"/>
          </w:tcPr>
          <w:p w14:paraId="6E5EC5F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01C8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9CC41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3322" w:type="dxa"/>
          </w:tcPr>
          <w:p w14:paraId="6BD593E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依法缴纳社会保障资金证明材料</w:t>
            </w:r>
          </w:p>
        </w:tc>
        <w:tc>
          <w:tcPr>
            <w:tcW w:w="4153" w:type="dxa"/>
          </w:tcPr>
          <w:p w14:paraId="07D8CF1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7A3B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16204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3322" w:type="dxa"/>
          </w:tcPr>
          <w:p w14:paraId="2BDEB79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具备履行合同所必需设备和专业技术能力的声明函(若有)</w:t>
            </w:r>
          </w:p>
        </w:tc>
        <w:tc>
          <w:tcPr>
            <w:tcW w:w="4153" w:type="dxa"/>
          </w:tcPr>
          <w:p w14:paraId="0C2B7E7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6A53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9892A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3322" w:type="dxa"/>
          </w:tcPr>
          <w:p w14:paraId="575A086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参加采购活动前三年内在经营活动中没有重大违法记录的声明</w:t>
            </w:r>
          </w:p>
        </w:tc>
        <w:tc>
          <w:tcPr>
            <w:tcW w:w="4153" w:type="dxa"/>
          </w:tcPr>
          <w:p w14:paraId="24524CA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CD2F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200B4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3322" w:type="dxa"/>
          </w:tcPr>
          <w:p w14:paraId="4A5D6AE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信用记录查询结果</w:t>
            </w:r>
          </w:p>
        </w:tc>
        <w:tc>
          <w:tcPr>
            <w:tcW w:w="4153" w:type="dxa"/>
          </w:tcPr>
          <w:p w14:paraId="06AEEA3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DBDF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C1620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3322" w:type="dxa"/>
          </w:tcPr>
          <w:p w14:paraId="23D4B38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中小企业声明函（以资格条件落实中小企业扶持政策时适用 ）</w:t>
            </w:r>
          </w:p>
        </w:tc>
        <w:tc>
          <w:tcPr>
            <w:tcW w:w="4153" w:type="dxa"/>
          </w:tcPr>
          <w:p w14:paraId="5D2C3F7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4707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9F8D8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3322" w:type="dxa"/>
          </w:tcPr>
          <w:p w14:paraId="18FCBB5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联合体协议（若有）</w:t>
            </w:r>
          </w:p>
        </w:tc>
        <w:tc>
          <w:tcPr>
            <w:tcW w:w="4153" w:type="dxa"/>
          </w:tcPr>
          <w:p w14:paraId="67571FB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727719E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※备注说明</w:t>
      </w:r>
    </w:p>
    <w:p w14:paraId="29BB11C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①投标人应根据自身实际情况提供上述资格要求的证明材料，格式可参考招标文件第七章提供。</w:t>
      </w:r>
    </w:p>
    <w:p w14:paraId="0BA56F8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②投标人提供的相应证明材料复印件均应符合：内容完整、清晰、整洁，并由投标人加盖其单位公章。</w:t>
      </w:r>
    </w:p>
    <w:p w14:paraId="4D2E44DF">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③根据招标文件第四章第一点资格审查的1.3“④其他资格证明文件”要求，允许供应商采用资格承诺制的并提供符合要求的资格承诺函，视为满足招标文件的资格要求。</w:t>
      </w:r>
    </w:p>
    <w:p w14:paraId="4EBA504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④.其他资格证明文件：</w:t>
      </w:r>
    </w:p>
    <w:p w14:paraId="0F10746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646"/>
        <w:gridCol w:w="5660"/>
      </w:tblGrid>
      <w:tr w14:paraId="02559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6" w:type="dxa"/>
          </w:tcPr>
          <w:p w14:paraId="0129A10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资格审查要求概况</w:t>
            </w:r>
          </w:p>
        </w:tc>
        <w:tc>
          <w:tcPr>
            <w:tcW w:w="5660" w:type="dxa"/>
          </w:tcPr>
          <w:p w14:paraId="5E7EC91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评审点具体描述</w:t>
            </w:r>
          </w:p>
        </w:tc>
      </w:tr>
      <w:tr w14:paraId="6FEC2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6" w:type="dxa"/>
          </w:tcPr>
          <w:p w14:paraId="078DAAA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资格承诺函</w:t>
            </w:r>
          </w:p>
        </w:tc>
        <w:tc>
          <w:tcPr>
            <w:tcW w:w="5660" w:type="dxa"/>
          </w:tcPr>
          <w:p w14:paraId="772F336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14:paraId="123DA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46" w:type="dxa"/>
          </w:tcPr>
          <w:p w14:paraId="451F186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投标保证金</w:t>
            </w:r>
          </w:p>
        </w:tc>
        <w:tc>
          <w:tcPr>
            <w:tcW w:w="5660" w:type="dxa"/>
          </w:tcPr>
          <w:p w14:paraId="48F72DC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投标保证金应符合招标文件第三章“投标人须知”中“四、投标”关于“10.9投标保证金” 第(2)、(3)点的要求。</w:t>
            </w:r>
          </w:p>
        </w:tc>
      </w:tr>
    </w:tbl>
    <w:p w14:paraId="60C0E2D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（3）投标保证金。</w:t>
      </w:r>
    </w:p>
    <w:p w14:paraId="1D7D0BE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1.4有下列情形之一的，资格审查不合格：</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543F8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3F745E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明细</w:t>
            </w:r>
          </w:p>
        </w:tc>
      </w:tr>
      <w:tr w14:paraId="56680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37CD66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未按照招标文件规定提交投标函</w:t>
            </w:r>
          </w:p>
        </w:tc>
      </w:tr>
      <w:tr w14:paraId="5133B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2D0329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未按照招标文件规定提交投标人的资格及资信文件</w:t>
            </w:r>
          </w:p>
        </w:tc>
      </w:tr>
      <w:tr w14:paraId="2F1EE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7FBD36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未按照招标文件规定提交投标保证金</w:t>
            </w:r>
          </w:p>
        </w:tc>
      </w:tr>
    </w:tbl>
    <w:p w14:paraId="1717643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w:t>
      </w:r>
    </w:p>
    <w:p w14:paraId="6A1ABDF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资格审查不合格项：无</w:t>
      </w:r>
    </w:p>
    <w:p w14:paraId="3C70B9B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83F9E5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2、资格审查情况不得私自外泄，有关信息由 福建省中会通招标代理有限公司 统一对外发布。</w:t>
      </w:r>
    </w:p>
    <w:p w14:paraId="74D942F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3、资格审查合格的投标人不足三家的，不进行评标。同时，本次采购活动结束， 福建省中会通招标代理有限公司 将依法组织后续采购活动（包括但不限于：重新招标、采用其他方式采购等）。</w:t>
      </w:r>
    </w:p>
    <w:p w14:paraId="4285789B">
      <w:pPr>
        <w:pStyle w:val="10"/>
        <w:spacing w:line="360" w:lineRule="auto"/>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二、评标</w:t>
      </w:r>
    </w:p>
    <w:p w14:paraId="1DEB73A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4、资格审查结束后，由 福建省中会通招标代理有限公司 负责评标委员会的组建及评标工作的组织。</w:t>
      </w:r>
    </w:p>
    <w:p w14:paraId="11885ED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5、评标委员会</w:t>
      </w:r>
    </w:p>
    <w:p w14:paraId="10CDD54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由采购人代表和评审专家两部分共7人组成，其中由福建省政府采购评审专家库产生的评审专家5人，由采购人派出的采购人代表2人。</w:t>
      </w:r>
    </w:p>
    <w:p w14:paraId="19D59ED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5.2评标委员会负责具体评标事务，并按照下列原则依法独立履行有关职责：</w:t>
      </w:r>
    </w:p>
    <w:p w14:paraId="3F659E8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（1）评标应保护国家利益、社会公共利益和各方当事人合法权益，提高采购效益，保证项目质量。</w:t>
      </w:r>
    </w:p>
    <w:p w14:paraId="2BE299D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（2）评标应遵循公平、公正、科学、严谨和择优原则。</w:t>
      </w:r>
    </w:p>
    <w:p w14:paraId="116995E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（3）评标的依据是招标文件和电子投标文件。</w:t>
      </w:r>
    </w:p>
    <w:p w14:paraId="75F245B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（4）应按照招标文件规定推荐中标候选人或确定中标人。</w:t>
      </w:r>
    </w:p>
    <w:p w14:paraId="593E4CC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（5）评标应遵守下列评标纪律：</w:t>
      </w:r>
    </w:p>
    <w:p w14:paraId="3C7DD74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①评标情况不得私自外泄，有关信息由 福建省中会通招标代理有限公司 统一对外发布。</w:t>
      </w:r>
    </w:p>
    <w:p w14:paraId="62C3348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②对 福建省中会通招标代理有限公司 或投标人提供的要求保密的资料，不得摘记翻印和外传。</w:t>
      </w:r>
    </w:p>
    <w:p w14:paraId="7D0192D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③不得收受投标人或有关人员的任何礼物，不得串联鼓动其他人袒护某投标人。若与投标人存在利害关系，则应主动声明并回避。</w:t>
      </w:r>
    </w:p>
    <w:p w14:paraId="6AB5FBD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④全体评委应按照招标文件规定进行评标，一切认定事项应查有实据且不得弄虚作假。</w:t>
      </w:r>
    </w:p>
    <w:p w14:paraId="24281CD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⑤评标中应充分发扬民主，推荐中标候选人或确定中标人后要服从评标报告。</w:t>
      </w:r>
    </w:p>
    <w:p w14:paraId="6A541E2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※对违反评标纪律的评委，将取消其评委资格，对评标工作造成严重损失者将予以通报批评乃至追究法律责任。</w:t>
      </w:r>
    </w:p>
    <w:p w14:paraId="6B36E36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6、评标程序</w:t>
      </w:r>
    </w:p>
    <w:p w14:paraId="3FB60C6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6.1评标前的准备工作</w:t>
      </w:r>
    </w:p>
    <w:p w14:paraId="4491C6F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（1）全体评委应认真审阅招标文件，了解评委应履行或遵守的职责、义务和评标纪律。</w:t>
      </w:r>
    </w:p>
    <w:p w14:paraId="15760C6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5B14797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6.2符合性审查</w:t>
      </w:r>
    </w:p>
    <w:p w14:paraId="0993BA9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（1）评标委员会依据招标文件的实质性要求，对通过资格审查的电子投标文件进行符合性审查，以确定其是否满足招标文件的实质性要求。</w:t>
      </w:r>
    </w:p>
    <w:p w14:paraId="4790F00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（2）满足招标文件的实质性要求指电子投标文件对招标文件实质性要求的响应不存在重大偏差或保留。</w:t>
      </w:r>
    </w:p>
    <w:p w14:paraId="428D487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886162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28E9AA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（5）评标委员会对所有投标人都执行相同的程序和标准。</w:t>
      </w:r>
    </w:p>
    <w:p w14:paraId="58C15BE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（6）有下列情形之一的，符合性审查不合格：</w:t>
      </w:r>
    </w:p>
    <w:p w14:paraId="55D24DE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①项目一般情形：</w:t>
      </w:r>
    </w:p>
    <w:p w14:paraId="06D9345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2262"/>
        <w:gridCol w:w="5006"/>
      </w:tblGrid>
      <w:tr w14:paraId="6E25B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EB4541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序号</w:t>
            </w:r>
          </w:p>
        </w:tc>
        <w:tc>
          <w:tcPr>
            <w:tcW w:w="2262" w:type="dxa"/>
          </w:tcPr>
          <w:p w14:paraId="1D69105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符合审查要求概况</w:t>
            </w:r>
          </w:p>
        </w:tc>
        <w:tc>
          <w:tcPr>
            <w:tcW w:w="5006" w:type="dxa"/>
          </w:tcPr>
          <w:p w14:paraId="7EE52EC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评审点具体描述</w:t>
            </w:r>
          </w:p>
        </w:tc>
      </w:tr>
      <w:tr w14:paraId="20BF3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9AD864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262" w:type="dxa"/>
          </w:tcPr>
          <w:p w14:paraId="0BD0B32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情形1</w:t>
            </w:r>
          </w:p>
        </w:tc>
        <w:tc>
          <w:tcPr>
            <w:tcW w:w="5006" w:type="dxa"/>
          </w:tcPr>
          <w:p w14:paraId="5599945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违反招标文件中载明“投标无效”条款的规定；</w:t>
            </w:r>
          </w:p>
        </w:tc>
      </w:tr>
      <w:tr w14:paraId="581F1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658B56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2262" w:type="dxa"/>
          </w:tcPr>
          <w:p w14:paraId="478193B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情形2</w:t>
            </w:r>
          </w:p>
        </w:tc>
        <w:tc>
          <w:tcPr>
            <w:tcW w:w="5006" w:type="dxa"/>
          </w:tcPr>
          <w:p w14:paraId="0E3C1F3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属于招标文件第三章第10.12条规定的投标无效情形；</w:t>
            </w:r>
          </w:p>
        </w:tc>
      </w:tr>
      <w:tr w14:paraId="4DE65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5AF378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2262" w:type="dxa"/>
          </w:tcPr>
          <w:p w14:paraId="065CFEB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情形3</w:t>
            </w:r>
          </w:p>
        </w:tc>
        <w:tc>
          <w:tcPr>
            <w:tcW w:w="5006" w:type="dxa"/>
          </w:tcPr>
          <w:p w14:paraId="2FA3DDA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投标文件对招标文件实质性要求的响应存在重大偏离或保留。</w:t>
            </w:r>
          </w:p>
        </w:tc>
      </w:tr>
      <w:tr w14:paraId="1FE9B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EC1D57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2262" w:type="dxa"/>
          </w:tcPr>
          <w:p w14:paraId="0E4F344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情形4</w:t>
            </w:r>
          </w:p>
        </w:tc>
        <w:tc>
          <w:tcPr>
            <w:tcW w:w="5006" w:type="dxa"/>
          </w:tcPr>
          <w:p w14:paraId="20B9F30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投标人未在投标文件技术商务部分按招标文件第五章“四、其他事项”要求提供《廉政承诺书》的</w:t>
            </w:r>
          </w:p>
        </w:tc>
      </w:tr>
      <w:tr w14:paraId="415C4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8C33FB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2262" w:type="dxa"/>
          </w:tcPr>
          <w:p w14:paraId="1B76ACD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情形5</w:t>
            </w:r>
          </w:p>
        </w:tc>
        <w:tc>
          <w:tcPr>
            <w:tcW w:w="5006" w:type="dxa"/>
          </w:tcPr>
          <w:p w14:paraId="3B62F9C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未按照招标文件规定要求签署、盖章的；</w:t>
            </w:r>
          </w:p>
        </w:tc>
      </w:tr>
      <w:tr w14:paraId="50F53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862570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2262" w:type="dxa"/>
          </w:tcPr>
          <w:p w14:paraId="7DBCBE4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情形6</w:t>
            </w:r>
          </w:p>
        </w:tc>
        <w:tc>
          <w:tcPr>
            <w:tcW w:w="5006" w:type="dxa"/>
          </w:tcPr>
          <w:p w14:paraId="26196BD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投标文件组成不符合招标文件要求的；</w:t>
            </w:r>
          </w:p>
        </w:tc>
      </w:tr>
      <w:tr w14:paraId="7F3FB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0A8EB0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2262" w:type="dxa"/>
          </w:tcPr>
          <w:p w14:paraId="3310B15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情形7</w:t>
            </w:r>
          </w:p>
        </w:tc>
        <w:tc>
          <w:tcPr>
            <w:tcW w:w="5006" w:type="dxa"/>
          </w:tcPr>
          <w:p w14:paraId="2B958D9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投标文件的技术商务部分中出现报价部分的全部或部分的投标报价信息(或组成资料)的；</w:t>
            </w:r>
          </w:p>
        </w:tc>
      </w:tr>
      <w:tr w14:paraId="0BD2C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33F533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2262" w:type="dxa"/>
          </w:tcPr>
          <w:p w14:paraId="6A314DB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情形8</w:t>
            </w:r>
          </w:p>
        </w:tc>
        <w:tc>
          <w:tcPr>
            <w:tcW w:w="5006" w:type="dxa"/>
          </w:tcPr>
          <w:p w14:paraId="0F7C0E2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评标委员会认为应当停止评标工作的；</w:t>
            </w:r>
          </w:p>
        </w:tc>
      </w:tr>
      <w:tr w14:paraId="6D6B6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151F05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2262" w:type="dxa"/>
          </w:tcPr>
          <w:p w14:paraId="54E4711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情形9</w:t>
            </w:r>
          </w:p>
        </w:tc>
        <w:tc>
          <w:tcPr>
            <w:tcW w:w="5006" w:type="dxa"/>
          </w:tcPr>
          <w:p w14:paraId="42C65CB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招标文件第五章“三、商务要求”中内容出现负偏离或未响应的，按无效投标处理。</w:t>
            </w:r>
          </w:p>
        </w:tc>
      </w:tr>
    </w:tbl>
    <w:p w14:paraId="225D08F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②本项目规定的其他情形：</w:t>
      </w:r>
    </w:p>
    <w:p w14:paraId="59C7E70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w:t>
      </w:r>
    </w:p>
    <w:p w14:paraId="50B773D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技术符合性</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14"/>
        <w:gridCol w:w="4992"/>
      </w:tblGrid>
      <w:tr w14:paraId="10548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4" w:type="dxa"/>
          </w:tcPr>
          <w:p w14:paraId="69C41B9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情形</w:t>
            </w:r>
          </w:p>
        </w:tc>
        <w:tc>
          <w:tcPr>
            <w:tcW w:w="4992" w:type="dxa"/>
          </w:tcPr>
          <w:p w14:paraId="7299755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明细</w:t>
            </w:r>
          </w:p>
        </w:tc>
      </w:tr>
      <w:tr w14:paraId="2E7B1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4" w:type="dxa"/>
          </w:tcPr>
          <w:p w14:paraId="03DBC27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其他情形</w:t>
            </w:r>
          </w:p>
        </w:tc>
        <w:tc>
          <w:tcPr>
            <w:tcW w:w="4992" w:type="dxa"/>
          </w:tcPr>
          <w:p w14:paraId="6340677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1、未按照招标文件规定要求签署、盖章的；</w:t>
            </w:r>
          </w:p>
        </w:tc>
      </w:tr>
      <w:tr w14:paraId="2E1AD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4" w:type="dxa"/>
          </w:tcPr>
          <w:p w14:paraId="54C78CF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其他情形</w:t>
            </w:r>
          </w:p>
        </w:tc>
        <w:tc>
          <w:tcPr>
            <w:tcW w:w="4992" w:type="dxa"/>
          </w:tcPr>
          <w:p w14:paraId="72B36A1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2、不符合招标文件中规定的实质性要求和条件的；</w:t>
            </w:r>
          </w:p>
        </w:tc>
      </w:tr>
      <w:tr w14:paraId="25082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4" w:type="dxa"/>
          </w:tcPr>
          <w:p w14:paraId="0775443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其他情形</w:t>
            </w:r>
          </w:p>
        </w:tc>
        <w:tc>
          <w:tcPr>
            <w:tcW w:w="4992" w:type="dxa"/>
          </w:tcPr>
          <w:p w14:paraId="1A68B6C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3、属于招标文件中规定的无效投标条款的情形；</w:t>
            </w:r>
          </w:p>
        </w:tc>
      </w:tr>
      <w:tr w14:paraId="593BE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4" w:type="dxa"/>
          </w:tcPr>
          <w:p w14:paraId="692BBA6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其他情形</w:t>
            </w:r>
          </w:p>
        </w:tc>
        <w:tc>
          <w:tcPr>
            <w:tcW w:w="4992" w:type="dxa"/>
          </w:tcPr>
          <w:p w14:paraId="69F9E65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4、属于招标文件规定的符合性检查不合格的情形；</w:t>
            </w:r>
          </w:p>
        </w:tc>
      </w:tr>
      <w:tr w14:paraId="27603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4" w:type="dxa"/>
          </w:tcPr>
          <w:p w14:paraId="2E0E9F5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其他情形</w:t>
            </w:r>
          </w:p>
        </w:tc>
        <w:tc>
          <w:tcPr>
            <w:tcW w:w="4992" w:type="dxa"/>
          </w:tcPr>
          <w:p w14:paraId="30DCE87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5、属于招标文件规定评标委员会应否决其投标的情形；</w:t>
            </w:r>
          </w:p>
        </w:tc>
      </w:tr>
      <w:tr w14:paraId="2E9A1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4" w:type="dxa"/>
          </w:tcPr>
          <w:p w14:paraId="0278AA7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其他情形</w:t>
            </w:r>
          </w:p>
        </w:tc>
        <w:tc>
          <w:tcPr>
            <w:tcW w:w="4992" w:type="dxa"/>
          </w:tcPr>
          <w:p w14:paraId="1BEFD0B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6、投标文件的技术部分中出现报价部分的全部或部分的投标报价信息(或组成资料)。</w:t>
            </w:r>
          </w:p>
        </w:tc>
      </w:tr>
    </w:tbl>
    <w:p w14:paraId="6FC2608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商务符合性</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00"/>
        <w:gridCol w:w="5006"/>
      </w:tblGrid>
      <w:tr w14:paraId="79E54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00" w:type="dxa"/>
          </w:tcPr>
          <w:p w14:paraId="338BA4E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情形</w:t>
            </w:r>
          </w:p>
        </w:tc>
        <w:tc>
          <w:tcPr>
            <w:tcW w:w="5006" w:type="dxa"/>
          </w:tcPr>
          <w:p w14:paraId="5430D44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明细</w:t>
            </w:r>
          </w:p>
        </w:tc>
      </w:tr>
      <w:tr w14:paraId="6AA1F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00" w:type="dxa"/>
          </w:tcPr>
          <w:p w14:paraId="1DA71A7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其他情形</w:t>
            </w:r>
          </w:p>
        </w:tc>
        <w:tc>
          <w:tcPr>
            <w:tcW w:w="5006" w:type="dxa"/>
          </w:tcPr>
          <w:p w14:paraId="79E5FDF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1、未按照招标文件规定要求签署、盖章的；</w:t>
            </w:r>
          </w:p>
        </w:tc>
      </w:tr>
      <w:tr w14:paraId="4833A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00" w:type="dxa"/>
          </w:tcPr>
          <w:p w14:paraId="518B822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其他情形</w:t>
            </w:r>
          </w:p>
        </w:tc>
        <w:tc>
          <w:tcPr>
            <w:tcW w:w="5006" w:type="dxa"/>
          </w:tcPr>
          <w:p w14:paraId="4DF129C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2、属于招标文件规定的符合性检查不合格情形；</w:t>
            </w:r>
          </w:p>
        </w:tc>
      </w:tr>
      <w:tr w14:paraId="694FA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00" w:type="dxa"/>
          </w:tcPr>
          <w:p w14:paraId="4F08226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其他情形</w:t>
            </w:r>
          </w:p>
        </w:tc>
        <w:tc>
          <w:tcPr>
            <w:tcW w:w="5006" w:type="dxa"/>
          </w:tcPr>
          <w:p w14:paraId="7C1F984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3、不符合招标文件中规定的实质性要求和条件；</w:t>
            </w:r>
          </w:p>
        </w:tc>
      </w:tr>
      <w:tr w14:paraId="06F5E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00" w:type="dxa"/>
          </w:tcPr>
          <w:p w14:paraId="51DA4FE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其他情形</w:t>
            </w:r>
          </w:p>
        </w:tc>
        <w:tc>
          <w:tcPr>
            <w:tcW w:w="5006" w:type="dxa"/>
          </w:tcPr>
          <w:p w14:paraId="09281E7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4、属于招标文件中载明“投标无效”条款的所规定的情形；</w:t>
            </w:r>
          </w:p>
        </w:tc>
      </w:tr>
      <w:tr w14:paraId="75367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00" w:type="dxa"/>
          </w:tcPr>
          <w:p w14:paraId="5FD6B06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其他情形</w:t>
            </w:r>
          </w:p>
        </w:tc>
        <w:tc>
          <w:tcPr>
            <w:tcW w:w="5006" w:type="dxa"/>
          </w:tcPr>
          <w:p w14:paraId="40CE9A5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5、属于招标文件规定评标委员会应否决其投标的情形；</w:t>
            </w:r>
          </w:p>
        </w:tc>
      </w:tr>
      <w:tr w14:paraId="16F00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00" w:type="dxa"/>
          </w:tcPr>
          <w:p w14:paraId="2B7A5C8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其他情形</w:t>
            </w:r>
          </w:p>
        </w:tc>
        <w:tc>
          <w:tcPr>
            <w:tcW w:w="5006" w:type="dxa"/>
          </w:tcPr>
          <w:p w14:paraId="43E3D13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6、投标文件的商务部分中出现报价部分的全部或部分的投标报价信息(或组成资料)；</w:t>
            </w:r>
          </w:p>
        </w:tc>
      </w:tr>
      <w:tr w14:paraId="122E1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00" w:type="dxa"/>
          </w:tcPr>
          <w:p w14:paraId="1BBFC78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其他情形</w:t>
            </w:r>
          </w:p>
        </w:tc>
        <w:tc>
          <w:tcPr>
            <w:tcW w:w="5006" w:type="dxa"/>
          </w:tcPr>
          <w:p w14:paraId="0E4FDA1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7、招标文件第五章“三、商务要求”中内容出现负偏离或未响应的，按无效投标处理。</w:t>
            </w:r>
          </w:p>
        </w:tc>
      </w:tr>
    </w:tbl>
    <w:p w14:paraId="06B24DE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价格符合性：无</w:t>
      </w:r>
    </w:p>
    <w:p w14:paraId="620B378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6.3澄清有关问题</w:t>
      </w:r>
    </w:p>
    <w:p w14:paraId="3C3D246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（1）对通过符合性审查的电子投标文件中含义不明确、同类问题表述不一致或有明显文字和计算错误的内容，评标委员会将以书面形式要求投标人作出必要的澄清、说明或补正。</w:t>
      </w:r>
    </w:p>
    <w:p w14:paraId="4F1D55E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B60A36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（3）电子投标文件报价出现前后不一致的，除招标文件另有规定外，按照下列规定修正：</w:t>
      </w:r>
    </w:p>
    <w:p w14:paraId="15A1AE7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①开标（报价）一览表内容与电子投标文件中相应内容不一致的，以开标（报价）一览表为准；</w:t>
      </w:r>
    </w:p>
    <w:p w14:paraId="26602C7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②大写金额和小写金额不一致的，以大写金额为准；</w:t>
      </w:r>
    </w:p>
    <w:p w14:paraId="51964ED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③单价金额小数点或百分比有明显错位的，以开标（报价）一览表的总价为准，并修改单价；</w:t>
      </w:r>
    </w:p>
    <w:p w14:paraId="30AB8D7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④总价金额与按照单价汇总金额不一致的，以单价金额计算结果为准。</w:t>
      </w:r>
    </w:p>
    <w:p w14:paraId="7566F4D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※同时出现两种以上不一致的，按照前款规定的顺序修正。修正后的报价应按照本章第6.3条第（1）、（2）款规定经投标人确认后产生约束力，投标人不确认的，其投标无效。</w:t>
      </w:r>
    </w:p>
    <w:p w14:paraId="4C9C4BC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（4）关于细微偏差</w:t>
      </w:r>
    </w:p>
    <w:p w14:paraId="475A5E2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5C5529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②评标委员会将以书面形式要求存在细微偏差的投标人在评标委员会规定的时间内予以补正。若无法补正，则评标委员会将按照不利于投标人的内容进行认定。</w:t>
      </w:r>
    </w:p>
    <w:p w14:paraId="511A8A1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（5）关于投标描述（即电子投标文件中描述的内容）</w:t>
      </w:r>
    </w:p>
    <w:p w14:paraId="7A47DB0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①投标描述前后不一致且不涉及证明材料的：按照本章第6.3条第（1）、（2）款规定执行。</w:t>
      </w:r>
    </w:p>
    <w:p w14:paraId="7E28977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②投标描述与证明材料不一致或多份证明材料之间不一致的：</w:t>
      </w:r>
    </w:p>
    <w:p w14:paraId="7A15195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a.评标委员会将要求投标人进行书面澄清，并按照不利于投标人的内容进行评标。</w:t>
      </w:r>
    </w:p>
    <w:p w14:paraId="7770C3D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2ED552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31D5FA9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6.4比较与评价</w:t>
      </w:r>
    </w:p>
    <w:p w14:paraId="19FA18F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（1）按照本章第7条载明的评标方法和标准，对符合性审查合格的电子投标文件进行比较与评价。</w:t>
      </w:r>
    </w:p>
    <w:p w14:paraId="128ED8D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（2）关于相同品牌产品（政府采购服务类项目不适用本条款规定）</w:t>
      </w:r>
    </w:p>
    <w:p w14:paraId="60E23F0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DB638B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a.招标文件规定的方式：</w:t>
      </w:r>
    </w:p>
    <w:p w14:paraId="0EB129C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w:t>
      </w:r>
    </w:p>
    <w:p w14:paraId="00B5FFD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b.招标文件未规定的，采取随机抽取方式确定，其他投标无效。</w:t>
      </w:r>
    </w:p>
    <w:p w14:paraId="707F616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221D7C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a.招标文件规定的方式：</w:t>
      </w:r>
    </w:p>
    <w:p w14:paraId="6227E6F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w:t>
      </w:r>
    </w:p>
    <w:p w14:paraId="112FB0E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b.招标文件未规定的，采取随机抽取方式确定，其他同品牌投标人不作为中标候选人。</w:t>
      </w:r>
    </w:p>
    <w:p w14:paraId="429DAFD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③非单一产品采购项目，多家投标人提供的核心产品品牌相同的，按照本章第6.4条第（2）款第①、②规定处理。</w:t>
      </w:r>
    </w:p>
    <w:p w14:paraId="1F35DB4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（3）漏（缺）项</w:t>
      </w:r>
    </w:p>
    <w:p w14:paraId="15A9895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①招标文件中要求列入报价的费用（含配置、功能），漏（缺）项的报价视为已经包括在投标总价中。</w:t>
      </w:r>
    </w:p>
    <w:p w14:paraId="17F8F5C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②对多报项及赠送项的价格评标时不予核减，全部进入评标价评议。</w:t>
      </w:r>
    </w:p>
    <w:p w14:paraId="5F3BFF8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6.5推荐中标候选人：详见本章第7.2条规定。</w:t>
      </w:r>
    </w:p>
    <w:p w14:paraId="3A1CE56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6.6编写评标报告</w:t>
      </w:r>
    </w:p>
    <w:p w14:paraId="244FC1B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（1）评标报告由评标委员会负责编写。</w:t>
      </w:r>
    </w:p>
    <w:p w14:paraId="52790A1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（2）评标报告应包括下列内容：</w:t>
      </w:r>
    </w:p>
    <w:p w14:paraId="53D6C5B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①招标公告刊登的媒体名称、开标日期和地点；</w:t>
      </w:r>
    </w:p>
    <w:p w14:paraId="10693CA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②投标人名单和评标委员会成员名单；</w:t>
      </w:r>
    </w:p>
    <w:p w14:paraId="06C2D25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③评标方法和标准；</w:t>
      </w:r>
    </w:p>
    <w:p w14:paraId="59F9764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④开标记录和评标情况及说明，包括无效投标人名单及原因；</w:t>
      </w:r>
    </w:p>
    <w:p w14:paraId="0961806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⑤评标结果，包括中标候选人名单或确定的中标人；</w:t>
      </w:r>
    </w:p>
    <w:p w14:paraId="5CCB65F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⑥其他需要说明的情况，包括但不限于：评标过程中投标人的澄清、说明或补正，评委更换等。</w:t>
      </w:r>
    </w:p>
    <w:p w14:paraId="1C20165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EDDA84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6.8评委对需要共同认定的事项存在争议的，应按照少数服从多数的原则进行认定。持不同意见的评委应在评标报告上签署不同意见及理由，否则视为同意评标报告。</w:t>
      </w:r>
    </w:p>
    <w:p w14:paraId="4ED66A5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6.9在评标过程中发现投标人有下列情形之一的，评标委员会应认定其投标无效，并书面报告本项目监督管理部门：</w:t>
      </w:r>
    </w:p>
    <w:p w14:paraId="324224A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（1）恶意串通（包括但不限于招标文件第三章第9.7条规定情形）；</w:t>
      </w:r>
    </w:p>
    <w:p w14:paraId="70CE3E5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（2）妨碍其他投标人的竞争行为；</w:t>
      </w:r>
    </w:p>
    <w:p w14:paraId="01B5892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（3）损害采购人或其他投标人的合法权益。</w:t>
      </w:r>
    </w:p>
    <w:p w14:paraId="52394D2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6.10评标过程中，有下列情形之一的，应予废标：</w:t>
      </w:r>
    </w:p>
    <w:p w14:paraId="39D5C94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（1）符合性审查合格的投标人不足三家的；</w:t>
      </w:r>
    </w:p>
    <w:p w14:paraId="72FA49D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（2）有关法律、法规和规章规定废标的情形。</w:t>
      </w:r>
    </w:p>
    <w:p w14:paraId="61ED1F7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※若废标，则本次采购活动结束， 福建省中会通招标代理有限公司 将依法组织后续采购活动（包括但不限于：重新招标、采用其他方式采购等）。</w:t>
      </w:r>
    </w:p>
    <w:p w14:paraId="2004FC9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7、评标方法和标准</w:t>
      </w:r>
    </w:p>
    <w:p w14:paraId="161D3FA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7.1评标方法：</w:t>
      </w:r>
    </w:p>
    <w:p w14:paraId="6DF4FA0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采购包1：综合评分法</w:t>
      </w:r>
    </w:p>
    <w:p w14:paraId="2EF8F82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7.2评标标准</w:t>
      </w:r>
    </w:p>
    <w:p w14:paraId="3218937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采购包1：综合评分法</w:t>
      </w:r>
    </w:p>
    <w:p w14:paraId="2971488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（1）投标文件满足招标文件全部实质性要求，且按照评审因素的量化指标评审得分（即评标总得分）最高的投标人为中标候选人。</w:t>
      </w:r>
    </w:p>
    <w:p w14:paraId="5B79456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D5CCEA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各项评审因素的设置如下：</w:t>
      </w:r>
    </w:p>
    <w:p w14:paraId="1510F8FB">
      <w:pPr>
        <w:pStyle w:val="10"/>
        <w:spacing w:line="360" w:lineRule="auto"/>
        <w:jc w:val="both"/>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价格项（F1×A1）满分为30.0000分</w:t>
      </w:r>
    </w:p>
    <w:p w14:paraId="6C18B4E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得分=(评审基准价／评审报价)×100×价格权重。满足采购文件要求且评审报价最低的为基准价，因落实政府采购政策进行价格调整的，以调整后的价格计算基准价和评审报价。注：若报价形式为总价、单价、折扣、上浮率时，评审报价=投标报价，扣除价=评审报价×扣除比例=投标报价×扣除比例，扣除后评审报价=评审报价-扣除价=投标报价×（1-扣除比例）。</w:t>
      </w:r>
    </w:p>
    <w:p w14:paraId="7686D8B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价格扣除的规则如下：</w:t>
      </w:r>
    </w:p>
    <w:tbl>
      <w:tblPr>
        <w:tblStyle w:val="6"/>
        <w:tblW w:w="841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936"/>
        <w:gridCol w:w="4153"/>
      </w:tblGrid>
      <w:tr w14:paraId="68531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DF648E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w:t>
            </w:r>
          </w:p>
        </w:tc>
        <w:tc>
          <w:tcPr>
            <w:tcW w:w="1661" w:type="dxa"/>
          </w:tcPr>
          <w:p w14:paraId="6DDB8DF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适用对象</w:t>
            </w:r>
          </w:p>
        </w:tc>
        <w:tc>
          <w:tcPr>
            <w:tcW w:w="936" w:type="dxa"/>
          </w:tcPr>
          <w:p w14:paraId="32194B5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比例</w:t>
            </w:r>
          </w:p>
        </w:tc>
        <w:tc>
          <w:tcPr>
            <w:tcW w:w="4153" w:type="dxa"/>
          </w:tcPr>
          <w:p w14:paraId="25B9B05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描述</w:t>
            </w:r>
          </w:p>
        </w:tc>
      </w:tr>
      <w:tr w14:paraId="13BCC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277F55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小型、微型企业，监狱企业，残疾人福利性单位</w:t>
            </w:r>
          </w:p>
        </w:tc>
        <w:tc>
          <w:tcPr>
            <w:tcW w:w="1661" w:type="dxa"/>
          </w:tcPr>
          <w:p w14:paraId="3507016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投标人或者联合体均为小型、微型企业</w:t>
            </w:r>
          </w:p>
        </w:tc>
        <w:tc>
          <w:tcPr>
            <w:tcW w:w="936" w:type="dxa"/>
          </w:tcPr>
          <w:p w14:paraId="7C84DDB1">
            <w:pPr>
              <w:pStyle w:val="10"/>
              <w:spacing w:line="36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15.00%</w:t>
            </w:r>
          </w:p>
        </w:tc>
        <w:tc>
          <w:tcPr>
            <w:tcW w:w="4153" w:type="dxa"/>
          </w:tcPr>
          <w:p w14:paraId="226F685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政府采购促进中小企业发展管理办法》价格的扣除：1、根据财政部、工业和信息化部关于发布《政府采购促进中小企业发展管理办法》(财库〔2020〕46号)，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应商提供的货物、工程或者服务符合下列情形的，享受本评标项目第(一)条第3点规定的中小企业扶持政策：(1)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 在货物采购项目中，供应商提供的货物既有中小企业制造货物，也有大型企业制造货物的，不享受本评标项目第(一)条第3点规定的中小企业扶持政策。 3、本项目为非专门面向中小企业的项目，根据《福建省财政厅关于进一步加大政府采购支持中小企业力度的通知》闽财规〔2022〕13号的规定,对小微企业报价给予15%的扣除，用扣除后的价格参加评审。残疾人集中就业企业、监狱企业视同小微企业，享受评审中价格扣除的政府采购政策。 4、监狱企业参加政府采购活动时，应当提供由省级以上监狱管理局、戒毒管理局(含新疆生产建设兵团)出具的属于监狱企业的证明文件，否则不予价格扣除。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6、采购标的对应的中小企业划分标准所属行业为软件和信息技术服务业，应对应填写《中小企业声明函》(服务)模板，若供应商填写的《中小企业声明函》不是对应模板的或者提供的《中小企业声明函》中填写的行业与招标文件明确的采购标的对应的中小企业划分标准所属行业不一致，均不予认定为小微企业，不予价格扣除。注：中小企业参加政府采购活动，应当出具《政府采购促进中小企业发展管理办法》规定的《中小企业声明函》(见招标文件相关附件), 否则不得享受相关中小企业扶持政策。评标委员会审查此项响应性只根据投标文件本身的内容，而不寻求其他的外部证据。根据财政部、工业和信息化部关于发布《政府采购促进中小企业发展管理办法》(财库〔2020〕46号)的规定，中标供应商享受本办法规定的中小企业扶持政策的，采购人、采购代理机构应当随中标结果公开中标供应商的《中小企业声明函》。供应商按照本办法规定提供声明函内容不实的，属于提供虚假材料谋取中标，依照《中华人民共和国政府采购法》等国家有关规定追究相应责任。备注：投标人可在此部分上传投标分项报价表。</w:t>
            </w:r>
          </w:p>
        </w:tc>
      </w:tr>
    </w:tbl>
    <w:p w14:paraId="7931377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其他：无</w:t>
      </w:r>
    </w:p>
    <w:p w14:paraId="4266F6D2">
      <w:pPr>
        <w:pStyle w:val="10"/>
        <w:spacing w:line="360" w:lineRule="auto"/>
        <w:jc w:val="both"/>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技术项（F2×A2）满分为63.0000分</w:t>
      </w:r>
    </w:p>
    <w:tbl>
      <w:tblPr>
        <w:tblStyle w:val="6"/>
        <w:tblW w:w="834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93"/>
        <w:gridCol w:w="948"/>
        <w:gridCol w:w="982"/>
        <w:gridCol w:w="4924"/>
      </w:tblGrid>
      <w:tr w14:paraId="2A986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3" w:type="dxa"/>
          </w:tcPr>
          <w:p w14:paraId="785114D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w:t>
            </w:r>
          </w:p>
        </w:tc>
        <w:tc>
          <w:tcPr>
            <w:tcW w:w="948" w:type="dxa"/>
          </w:tcPr>
          <w:p w14:paraId="614316B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分值</w:t>
            </w:r>
          </w:p>
        </w:tc>
        <w:tc>
          <w:tcPr>
            <w:tcW w:w="982" w:type="dxa"/>
          </w:tcPr>
          <w:p w14:paraId="57CD1FC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是否客观项</w:t>
            </w:r>
          </w:p>
        </w:tc>
        <w:tc>
          <w:tcPr>
            <w:tcW w:w="4924" w:type="dxa"/>
          </w:tcPr>
          <w:p w14:paraId="6CB08F5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描述</w:t>
            </w:r>
          </w:p>
        </w:tc>
      </w:tr>
      <w:tr w14:paraId="757D1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3" w:type="dxa"/>
            <w:vAlign w:val="center"/>
          </w:tcPr>
          <w:p w14:paraId="45AAB713">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1.机房等级</w:t>
            </w:r>
          </w:p>
        </w:tc>
        <w:tc>
          <w:tcPr>
            <w:tcW w:w="948" w:type="dxa"/>
            <w:vAlign w:val="center"/>
          </w:tcPr>
          <w:p w14:paraId="49B48A2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982" w:type="dxa"/>
            <w:vAlign w:val="center"/>
          </w:tcPr>
          <w:p w14:paraId="1DA4371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4924" w:type="dxa"/>
          </w:tcPr>
          <w:p w14:paraId="7E4DC07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为保证</w:t>
            </w:r>
            <w:r>
              <w:rPr>
                <w:rFonts w:hint="eastAsia" w:asciiTheme="minorEastAsia" w:hAnsiTheme="minorEastAsia" w:cstheme="minorEastAsia"/>
                <w:color w:val="auto"/>
                <w:sz w:val="24"/>
                <w:szCs w:val="24"/>
                <w:lang w:eastAsia="zh-CN"/>
              </w:rPr>
              <w:t>投标人本项目拟投机房（以下简称“租用机房”）</w:t>
            </w:r>
            <w:r>
              <w:rPr>
                <w:rFonts w:hint="eastAsia" w:asciiTheme="minorEastAsia" w:hAnsiTheme="minorEastAsia" w:eastAsiaTheme="minorEastAsia" w:cstheme="minorEastAsia"/>
                <w:color w:val="auto"/>
                <w:sz w:val="24"/>
                <w:szCs w:val="24"/>
              </w:rPr>
              <w:t>适配公安业务等级保护要求，投标人提供</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机房符合《数据中心设计规范》（GB 50174-2017）A级标准、满足三级等保要求（至少包括：网络安全等级测评基本信息表页、等级测评结论页）进行佐证的得3分。未提供的或提供不符合要求的不得分。</w:t>
            </w:r>
          </w:p>
        </w:tc>
      </w:tr>
      <w:tr w14:paraId="391F4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3" w:type="dxa"/>
            <w:vAlign w:val="center"/>
          </w:tcPr>
          <w:p w14:paraId="0120DD8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2.机房场地</w:t>
            </w:r>
          </w:p>
        </w:tc>
        <w:tc>
          <w:tcPr>
            <w:tcW w:w="948" w:type="dxa"/>
            <w:vAlign w:val="center"/>
          </w:tcPr>
          <w:p w14:paraId="1B6027DF">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982" w:type="dxa"/>
            <w:vAlign w:val="center"/>
          </w:tcPr>
          <w:p w14:paraId="58B14A34">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4924" w:type="dxa"/>
          </w:tcPr>
          <w:p w14:paraId="250988E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为保证本项目机房符合投标人对机房场地的合规性要求，投标人提供机房距采购人中心机房直线距离≤50千米</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机房场地</w:t>
            </w:r>
            <w:r>
              <w:rPr>
                <w:rFonts w:hint="eastAsia" w:asciiTheme="minorEastAsia" w:hAnsiTheme="minorEastAsia" w:cstheme="minorEastAsia"/>
                <w:color w:val="auto"/>
                <w:sz w:val="24"/>
                <w:szCs w:val="24"/>
                <w:lang w:val="en-US" w:eastAsia="zh-CN"/>
              </w:rPr>
              <w:t>为</w:t>
            </w:r>
            <w:r>
              <w:rPr>
                <w:rFonts w:hint="eastAsia" w:asciiTheme="minorEastAsia" w:hAnsiTheme="minorEastAsia" w:eastAsiaTheme="minorEastAsia" w:cstheme="minorEastAsia"/>
                <w:color w:val="auto"/>
                <w:sz w:val="24"/>
                <w:szCs w:val="24"/>
              </w:rPr>
              <w:t>自</w:t>
            </w:r>
            <w:r>
              <w:rPr>
                <w:rFonts w:hint="eastAsia" w:asciiTheme="minorEastAsia" w:hAnsiTheme="minorEastAsia" w:cstheme="minorEastAsia"/>
                <w:color w:val="auto"/>
                <w:sz w:val="24"/>
                <w:szCs w:val="24"/>
                <w:lang w:val="en-US" w:eastAsia="zh-CN"/>
              </w:rPr>
              <w:t>有</w:t>
            </w:r>
            <w:r>
              <w:rPr>
                <w:rFonts w:hint="eastAsia" w:asciiTheme="minorEastAsia" w:hAnsiTheme="minorEastAsia" w:eastAsiaTheme="minorEastAsia" w:cstheme="minorEastAsia"/>
                <w:color w:val="auto"/>
                <w:sz w:val="24"/>
                <w:szCs w:val="24"/>
              </w:rPr>
              <w:t>产权</w:t>
            </w:r>
            <w:r>
              <w:rPr>
                <w:rFonts w:hint="eastAsia" w:asciiTheme="minorEastAsia" w:hAnsiTheme="minorEastAsia" w:cstheme="minorEastAsia"/>
                <w:color w:val="auto"/>
                <w:sz w:val="24"/>
                <w:szCs w:val="24"/>
                <w:lang w:val="en-US" w:eastAsia="zh-CN"/>
              </w:rPr>
              <w:t>的需提供产权证明材料，其中所有权人须为投标人</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机房为租用的，需提供</w:t>
            </w:r>
            <w:r>
              <w:rPr>
                <w:rFonts w:hint="eastAsia" w:asciiTheme="minorEastAsia" w:hAnsiTheme="minorEastAsia" w:eastAsiaTheme="minorEastAsia" w:cstheme="minorEastAsia"/>
                <w:color w:val="auto"/>
                <w:sz w:val="24"/>
                <w:szCs w:val="24"/>
              </w:rPr>
              <w:t>与产权单位签署</w:t>
            </w:r>
            <w:r>
              <w:rPr>
                <w:rFonts w:hint="eastAsia" w:asciiTheme="minorEastAsia" w:hAnsiTheme="minorEastAsia" w:cstheme="minorEastAsia"/>
                <w:color w:val="auto"/>
                <w:sz w:val="24"/>
                <w:szCs w:val="24"/>
                <w:lang w:val="en-US" w:eastAsia="zh-CN"/>
              </w:rPr>
              <w:t>的</w:t>
            </w:r>
            <w:r>
              <w:rPr>
                <w:rFonts w:hint="eastAsia" w:asciiTheme="minorEastAsia" w:hAnsiTheme="minorEastAsia" w:eastAsiaTheme="minorEastAsia" w:cstheme="minorEastAsia"/>
                <w:color w:val="auto"/>
                <w:sz w:val="24"/>
                <w:szCs w:val="24"/>
              </w:rPr>
              <w:t>房屋</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合同且使用权剩余时间不</w:t>
            </w:r>
            <w:r>
              <w:rPr>
                <w:rFonts w:hint="eastAsia" w:asciiTheme="minorEastAsia" w:hAnsiTheme="minorEastAsia" w:cstheme="minorEastAsia"/>
                <w:color w:val="auto"/>
                <w:sz w:val="24"/>
                <w:szCs w:val="24"/>
                <w:lang w:val="en-US" w:eastAsia="zh-CN"/>
              </w:rPr>
              <w:t>得</w:t>
            </w:r>
            <w:r>
              <w:rPr>
                <w:rFonts w:hint="eastAsia" w:asciiTheme="minorEastAsia" w:hAnsiTheme="minorEastAsia" w:eastAsiaTheme="minorEastAsia" w:cstheme="minorEastAsia"/>
                <w:color w:val="auto"/>
                <w:sz w:val="24"/>
                <w:szCs w:val="24"/>
              </w:rPr>
              <w:t>少于2年</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能提供</w:t>
            </w:r>
            <w:r>
              <w:rPr>
                <w:rFonts w:hint="eastAsia" w:asciiTheme="minorEastAsia" w:hAnsiTheme="minorEastAsia" w:eastAsiaTheme="minorEastAsia" w:cstheme="minorEastAsia"/>
                <w:color w:val="auto"/>
                <w:sz w:val="24"/>
                <w:szCs w:val="24"/>
              </w:rPr>
              <w:t>有效证明材料进行佐证</w:t>
            </w:r>
            <w:r>
              <w:rPr>
                <w:rFonts w:hint="eastAsia" w:asciiTheme="minorEastAsia" w:hAnsiTheme="minorEastAsia" w:cstheme="minorEastAsia"/>
                <w:color w:val="auto"/>
                <w:sz w:val="24"/>
                <w:szCs w:val="24"/>
                <w:lang w:val="en-US" w:eastAsia="zh-CN"/>
              </w:rPr>
              <w:t>的得3分</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未提供的或提供不符合要求的不得分。</w:t>
            </w:r>
          </w:p>
        </w:tc>
      </w:tr>
      <w:tr w14:paraId="5D052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3" w:type="dxa"/>
            <w:vAlign w:val="center"/>
          </w:tcPr>
          <w:p w14:paraId="1EF5C5E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3.机房供配电保障-1</w:t>
            </w:r>
          </w:p>
        </w:tc>
        <w:tc>
          <w:tcPr>
            <w:tcW w:w="948" w:type="dxa"/>
            <w:vAlign w:val="center"/>
          </w:tcPr>
          <w:p w14:paraId="4B9A7700">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.00</w:t>
            </w:r>
          </w:p>
        </w:tc>
        <w:tc>
          <w:tcPr>
            <w:tcW w:w="982" w:type="dxa"/>
            <w:vAlign w:val="center"/>
          </w:tcPr>
          <w:p w14:paraId="41E87A80">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4924" w:type="dxa"/>
          </w:tcPr>
          <w:p w14:paraId="7CFB114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为保证本项目机房供配电系统安全稳定不间断运行，投标人提供</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供电合同关键页（至少包括：合同封面、体现由不同变（配）电站引出的双路及以上市电供电内容页、合同盖章页）复印件、专属变电站的证明材料【提供最近3个月任意一个月（不含开标当月）的园区专属110kV变电站电费结算单据，单据中需标注专属变电站供电电压等级为110kV，并加盖国网供电公司公章】进行佐证的得</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分。未提供的或提供不符合要求的不得分。</w:t>
            </w:r>
          </w:p>
        </w:tc>
      </w:tr>
      <w:tr w14:paraId="0764A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3" w:type="dxa"/>
            <w:vAlign w:val="center"/>
          </w:tcPr>
          <w:p w14:paraId="5DB45DDD">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4.机房供配电保障-2</w:t>
            </w:r>
          </w:p>
        </w:tc>
        <w:tc>
          <w:tcPr>
            <w:tcW w:w="948" w:type="dxa"/>
            <w:vAlign w:val="center"/>
          </w:tcPr>
          <w:p w14:paraId="3BB82AE8">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.00</w:t>
            </w:r>
          </w:p>
        </w:tc>
        <w:tc>
          <w:tcPr>
            <w:tcW w:w="982" w:type="dxa"/>
            <w:vAlign w:val="center"/>
          </w:tcPr>
          <w:p w14:paraId="376D3C4F">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4924" w:type="dxa"/>
          </w:tcPr>
          <w:p w14:paraId="028B9A3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rPr>
              <w:t>为保证本项目租</w:t>
            </w:r>
            <w:r>
              <w:rPr>
                <w:rFonts w:hint="eastAsia" w:asciiTheme="minorEastAsia" w:hAnsiTheme="minorEastAsia" w:cstheme="minorEastAsia"/>
                <w:b w:val="0"/>
                <w:bCs w:val="0"/>
                <w:color w:val="auto"/>
                <w:sz w:val="24"/>
                <w:szCs w:val="24"/>
                <w:lang w:eastAsia="zh-CN"/>
              </w:rPr>
              <w:t>用</w:t>
            </w:r>
            <w:r>
              <w:rPr>
                <w:rFonts w:hint="eastAsia" w:asciiTheme="minorEastAsia" w:hAnsiTheme="minorEastAsia" w:eastAsiaTheme="minorEastAsia" w:cstheme="minorEastAsia"/>
                <w:b w:val="0"/>
                <w:bCs w:val="0"/>
                <w:color w:val="auto"/>
                <w:sz w:val="24"/>
                <w:szCs w:val="24"/>
              </w:rPr>
              <w:t>机房储油用于供配电系统应急使用，投标人须提供投标截止</w:t>
            </w:r>
            <w:r>
              <w:rPr>
                <w:rFonts w:hint="eastAsia" w:asciiTheme="minorEastAsia" w:hAnsiTheme="minorEastAsia" w:cstheme="minorEastAsia"/>
                <w:b w:val="0"/>
                <w:bCs w:val="0"/>
                <w:color w:val="auto"/>
                <w:sz w:val="24"/>
                <w:szCs w:val="24"/>
                <w:lang w:eastAsia="zh-CN"/>
              </w:rPr>
              <w:t>日</w:t>
            </w:r>
            <w:r>
              <w:rPr>
                <w:rFonts w:hint="eastAsia" w:asciiTheme="minorEastAsia" w:hAnsiTheme="minorEastAsia" w:eastAsiaTheme="minorEastAsia" w:cstheme="minorEastAsia"/>
                <w:b w:val="0"/>
                <w:bCs w:val="0"/>
                <w:color w:val="auto"/>
                <w:sz w:val="24"/>
                <w:szCs w:val="24"/>
              </w:rPr>
              <w:t>前</w:t>
            </w:r>
            <w:r>
              <w:rPr>
                <w:rFonts w:hint="eastAsia" w:asciiTheme="minorEastAsia" w:hAnsiTheme="minorEastAsia" w:cstheme="minorEastAsia"/>
                <w:b w:val="0"/>
                <w:bCs w:val="0"/>
                <w:color w:val="auto"/>
                <w:sz w:val="24"/>
                <w:szCs w:val="24"/>
                <w:lang w:eastAsia="zh-CN"/>
              </w:rPr>
              <w:t>仍在有效期内的</w:t>
            </w:r>
            <w:r>
              <w:rPr>
                <w:rFonts w:hint="eastAsia" w:asciiTheme="minorEastAsia" w:hAnsiTheme="minorEastAsia" w:eastAsiaTheme="minorEastAsia" w:cstheme="minorEastAsia"/>
                <w:b w:val="0"/>
                <w:bCs w:val="0"/>
                <w:color w:val="auto"/>
                <w:sz w:val="24"/>
                <w:szCs w:val="24"/>
              </w:rPr>
              <w:t>供油合同关键页复印件（至少包括：合同封面、体现加油站4小时内供油承诺的协议内容页、合同盖章页），并出具加盖投标人公章的书面承诺函（格式自拟），承诺本项目服务期内机房供油合同持续有效</w:t>
            </w:r>
            <w:r>
              <w:rPr>
                <w:rFonts w:hint="eastAsia" w:asciiTheme="minorEastAsia" w:hAnsi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且</w:t>
            </w:r>
            <w:r>
              <w:rPr>
                <w:rFonts w:hint="eastAsia" w:asciiTheme="minorEastAsia" w:hAnsiTheme="minorEastAsia" w:cstheme="minorEastAsia"/>
                <w:b w:val="0"/>
                <w:bCs w:val="0"/>
                <w:color w:val="auto"/>
                <w:sz w:val="24"/>
                <w:szCs w:val="24"/>
                <w:lang w:eastAsia="zh-CN"/>
              </w:rPr>
              <w:t>始终</w:t>
            </w:r>
            <w:r>
              <w:rPr>
                <w:rFonts w:hint="eastAsia" w:asciiTheme="minorEastAsia" w:hAnsiTheme="minorEastAsia" w:eastAsiaTheme="minorEastAsia" w:cstheme="minorEastAsia"/>
                <w:b w:val="0"/>
                <w:bCs w:val="0"/>
                <w:color w:val="auto"/>
                <w:sz w:val="24"/>
                <w:szCs w:val="24"/>
              </w:rPr>
              <w:t>满足加油站4小时内应急供油的要求。满足以上全部要求的得3分，未提供或提供不符合要求的不得分。</w:t>
            </w:r>
          </w:p>
        </w:tc>
      </w:tr>
      <w:tr w14:paraId="5B872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3" w:type="dxa"/>
            <w:vAlign w:val="center"/>
          </w:tcPr>
          <w:p w14:paraId="362F8774">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5.机房机柜资源及机房环境</w:t>
            </w:r>
          </w:p>
        </w:tc>
        <w:tc>
          <w:tcPr>
            <w:tcW w:w="948" w:type="dxa"/>
            <w:vAlign w:val="center"/>
          </w:tcPr>
          <w:p w14:paraId="2D47F1D6">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.00</w:t>
            </w:r>
          </w:p>
        </w:tc>
        <w:tc>
          <w:tcPr>
            <w:tcW w:w="982" w:type="dxa"/>
            <w:vAlign w:val="center"/>
          </w:tcPr>
          <w:p w14:paraId="191945D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4924" w:type="dxa"/>
          </w:tcPr>
          <w:p w14:paraId="434576A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为保证本项目业务设备部署及扩容需求，投标人提供</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机房平面图（</w:t>
            </w:r>
            <w:r>
              <w:rPr>
                <w:rFonts w:hint="eastAsia" w:asciiTheme="minorEastAsia" w:hAnsiTheme="minorEastAsia" w:cstheme="minorEastAsia"/>
                <w:color w:val="auto"/>
                <w:sz w:val="24"/>
                <w:szCs w:val="24"/>
                <w:lang w:val="en-US" w:eastAsia="zh-CN"/>
              </w:rPr>
              <w:t>须体现</w:t>
            </w: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0个微模块一体化机柜并预留不少于</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0个扩容机柜）及提供近一个月（不含投标截止时间的当月）运行记录的系统截图(机房温度恒定在18~25℃，湿度恒定在40~70%)进行佐证的得</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分。未提供的或提供不符合要求的不得分。</w:t>
            </w:r>
          </w:p>
        </w:tc>
      </w:tr>
      <w:tr w14:paraId="2275F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3" w:type="dxa"/>
            <w:vAlign w:val="center"/>
          </w:tcPr>
          <w:p w14:paraId="3E41D1E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.基础运维服务能力</w:t>
            </w:r>
          </w:p>
        </w:tc>
        <w:tc>
          <w:tcPr>
            <w:tcW w:w="948" w:type="dxa"/>
            <w:vAlign w:val="center"/>
          </w:tcPr>
          <w:p w14:paraId="52131B1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982" w:type="dxa"/>
            <w:vAlign w:val="center"/>
          </w:tcPr>
          <w:p w14:paraId="7939ACA3">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4924" w:type="dxa"/>
          </w:tcPr>
          <w:p w14:paraId="762D95C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保证本项目基础运维服务能力，投标人提供近一个月（不含投标截止时间的当月）运维工作台截图（至少包括：业务系统分级管理、业务系统资源管理、云资源配额管理、资源使用率管理、分级告警概览、分级告警规则管理、业务系统维护时间管理、运维签到管理）进行佐证的得3分。未提供的或提供不符合要求的不得分。</w:t>
            </w:r>
          </w:p>
        </w:tc>
      </w:tr>
      <w:tr w14:paraId="35C18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3" w:type="dxa"/>
            <w:vAlign w:val="center"/>
          </w:tcPr>
          <w:p w14:paraId="457DD7AA">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.公安数据库资源池整合要求</w:t>
            </w:r>
          </w:p>
        </w:tc>
        <w:tc>
          <w:tcPr>
            <w:tcW w:w="948" w:type="dxa"/>
            <w:vAlign w:val="center"/>
          </w:tcPr>
          <w:p w14:paraId="2028E398">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982" w:type="dxa"/>
            <w:vAlign w:val="center"/>
          </w:tcPr>
          <w:p w14:paraId="13CC303B">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4924" w:type="dxa"/>
          </w:tcPr>
          <w:p w14:paraId="42E357B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根据投标人对数据库资源池容量整合提升的承诺情况进行评分：符合招标文件要求的自建数据库资源池总</w:t>
            </w:r>
            <w:r>
              <w:rPr>
                <w:rFonts w:hint="eastAsia" w:asciiTheme="minorEastAsia" w:hAnsiTheme="minorEastAsia" w:cstheme="minorEastAsia"/>
                <w:color w:val="auto"/>
                <w:sz w:val="24"/>
                <w:szCs w:val="24"/>
                <w:lang w:eastAsia="zh-CN"/>
              </w:rPr>
              <w:t>可得</w:t>
            </w:r>
            <w:r>
              <w:rPr>
                <w:rFonts w:hint="eastAsia" w:asciiTheme="minorEastAsia" w:hAnsiTheme="minorEastAsia" w:eastAsiaTheme="minorEastAsia" w:cstheme="minorEastAsia"/>
                <w:color w:val="auto"/>
                <w:sz w:val="24"/>
                <w:szCs w:val="24"/>
              </w:rPr>
              <w:t>容量承诺值在800TB基础上，每增加100TB得1分（满分3分） 注：投标人须提供书面承诺函（格式自拟）并加盖公章，否则不得分。</w:t>
            </w:r>
          </w:p>
        </w:tc>
      </w:tr>
      <w:tr w14:paraId="0BEE9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3" w:type="dxa"/>
            <w:vAlign w:val="center"/>
          </w:tcPr>
          <w:p w14:paraId="5B45799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.公安云资源整合要求</w:t>
            </w:r>
          </w:p>
        </w:tc>
        <w:tc>
          <w:tcPr>
            <w:tcW w:w="948" w:type="dxa"/>
            <w:vAlign w:val="center"/>
          </w:tcPr>
          <w:p w14:paraId="18E41B5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6.00</w:t>
            </w:r>
          </w:p>
        </w:tc>
        <w:tc>
          <w:tcPr>
            <w:tcW w:w="982" w:type="dxa"/>
            <w:vAlign w:val="center"/>
          </w:tcPr>
          <w:p w14:paraId="1412960D">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4924" w:type="dxa"/>
          </w:tcPr>
          <w:p w14:paraId="7B5C8DD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根据投标人对公安云资源利旧资源整合提升的承诺情况进行评分： ①CPU总物理核数/线程数在</w:t>
            </w:r>
            <w:r>
              <w:rPr>
                <w:rFonts w:hint="eastAsia" w:asciiTheme="minorEastAsia" w:hAnsi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rPr>
              <w:t>万核基础上，每增加0.</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万核得</w:t>
            </w: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分（满分2分）；②内存总容量在1</w:t>
            </w:r>
            <w:r>
              <w:rPr>
                <w:rFonts w:hint="eastAsia" w:asciiTheme="minorEastAsia" w:hAnsi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0TB基础上，每增加10TB得</w:t>
            </w: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分（满分2分）；③存储总可用容量在</w:t>
            </w: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5PB基础上，每增加</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PB得</w:t>
            </w: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分（满分2分）。 注：投标人须提供书面承诺函（格式自拟）并加盖公章，否则不得分。</w:t>
            </w:r>
          </w:p>
        </w:tc>
      </w:tr>
      <w:tr w14:paraId="33604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3" w:type="dxa"/>
            <w:vAlign w:val="center"/>
          </w:tcPr>
          <w:p w14:paraId="4F58F871">
            <w:pPr>
              <w:pStyle w:val="10"/>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.政务外网云安全服务能力</w:t>
            </w:r>
            <w:r>
              <w:rPr>
                <w:rFonts w:hint="eastAsia" w:asciiTheme="minorEastAsia" w:hAnsiTheme="minorEastAsia" w:cstheme="minorEastAsia"/>
                <w:color w:val="auto"/>
                <w:sz w:val="24"/>
                <w:szCs w:val="24"/>
                <w:lang w:val="en-US" w:eastAsia="zh-CN"/>
              </w:rPr>
              <w:t>-1</w:t>
            </w:r>
          </w:p>
        </w:tc>
        <w:tc>
          <w:tcPr>
            <w:tcW w:w="948" w:type="dxa"/>
            <w:vAlign w:val="center"/>
          </w:tcPr>
          <w:p w14:paraId="0DEF4E9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982" w:type="dxa"/>
            <w:vAlign w:val="center"/>
          </w:tcPr>
          <w:p w14:paraId="7A19ED2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4924" w:type="dxa"/>
          </w:tcPr>
          <w:p w14:paraId="46BE92F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为有效防范政务外网云平台及互联网业务系统面临的</w:t>
            </w:r>
            <w:r>
              <w:rPr>
                <w:rFonts w:hint="eastAsia" w:asciiTheme="minorEastAsia" w:hAnsiTheme="minorEastAsia" w:cstheme="minorEastAsia"/>
                <w:color w:val="auto"/>
                <w:sz w:val="24"/>
                <w:szCs w:val="24"/>
                <w:lang w:eastAsia="zh-CN"/>
              </w:rPr>
              <w:t>网络</w:t>
            </w:r>
            <w:r>
              <w:rPr>
                <w:rFonts w:hint="eastAsia" w:asciiTheme="minorEastAsia" w:hAnsiTheme="minorEastAsia" w:eastAsiaTheme="minorEastAsia" w:cstheme="minorEastAsia"/>
                <w:color w:val="auto"/>
                <w:sz w:val="24"/>
                <w:szCs w:val="24"/>
              </w:rPr>
              <w:t>攻击风险，保障业务连续性，避免大流量攻击造成网络中断，投标人提供由具备CMA或CNAS资质的测评单位出具的具有攻击流量控制或清洗能力</w:t>
            </w:r>
            <w:r>
              <w:rPr>
                <w:rFonts w:hint="eastAsia" w:asciiTheme="minorEastAsia" w:hAnsiTheme="minorEastAsia" w:cstheme="minorEastAsia"/>
                <w:color w:val="auto"/>
                <w:sz w:val="24"/>
                <w:szCs w:val="24"/>
                <w:lang w:eastAsia="zh-CN"/>
              </w:rPr>
              <w:t>检测</w:t>
            </w:r>
            <w:r>
              <w:rPr>
                <w:rFonts w:hint="eastAsia" w:asciiTheme="minorEastAsia" w:hAnsiTheme="minorEastAsia" w:eastAsiaTheme="minorEastAsia" w:cstheme="minorEastAsia"/>
                <w:color w:val="auto"/>
                <w:sz w:val="24"/>
                <w:szCs w:val="24"/>
              </w:rPr>
              <w:t>报告</w:t>
            </w:r>
            <w:r>
              <w:rPr>
                <w:rFonts w:hint="eastAsia" w:asciiTheme="minorEastAsia" w:hAnsiTheme="minorEastAsia" w:cstheme="minorEastAsia"/>
                <w:color w:val="auto"/>
                <w:sz w:val="24"/>
                <w:szCs w:val="24"/>
                <w:lang w:eastAsia="zh-CN"/>
              </w:rPr>
              <w:t>的</w:t>
            </w:r>
            <w:r>
              <w:rPr>
                <w:rFonts w:hint="eastAsia" w:asciiTheme="minorEastAsia" w:hAnsiTheme="minorEastAsia" w:eastAsiaTheme="minorEastAsia" w:cstheme="minorEastAsia"/>
                <w:color w:val="auto"/>
                <w:sz w:val="24"/>
                <w:szCs w:val="24"/>
              </w:rPr>
              <w:t>，得3分。须提供有效证明材料复印件并加盖投标人公章，否则不得分。投标人若为下级或分支机构的，提供上级机构证书的视为有效。</w:t>
            </w:r>
          </w:p>
        </w:tc>
      </w:tr>
      <w:tr w14:paraId="35836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3" w:type="dxa"/>
            <w:vAlign w:val="center"/>
          </w:tcPr>
          <w:p w14:paraId="318A055D">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.政务外网云安全服务能力</w:t>
            </w:r>
            <w:r>
              <w:rPr>
                <w:rFonts w:hint="eastAsia" w:asciiTheme="minorEastAsia" w:hAnsiTheme="minorEastAsia" w:cstheme="minorEastAsia"/>
                <w:color w:val="auto"/>
                <w:sz w:val="24"/>
                <w:szCs w:val="24"/>
                <w:lang w:val="en-US" w:eastAsia="zh-CN"/>
              </w:rPr>
              <w:t>-2</w:t>
            </w:r>
          </w:p>
        </w:tc>
        <w:tc>
          <w:tcPr>
            <w:tcW w:w="948" w:type="dxa"/>
            <w:vAlign w:val="center"/>
          </w:tcPr>
          <w:p w14:paraId="3555A9F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982" w:type="dxa"/>
            <w:vAlign w:val="center"/>
          </w:tcPr>
          <w:p w14:paraId="5CDF6DD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4924" w:type="dxa"/>
          </w:tcPr>
          <w:p w14:paraId="04E45F4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为切实增强政务外网云平台及互联网业务系统抵御DDoS攻击的能力，确保关键业务在遭受大流量攻击时仍能稳定运行，投标人提供由具备CMA或CNAS资质的测评单位出具的DDoS清洗防护能力</w:t>
            </w:r>
            <w:r>
              <w:rPr>
                <w:rFonts w:hint="eastAsia" w:asciiTheme="minorEastAsia" w:hAnsiTheme="minorEastAsia" w:cstheme="minorEastAsia"/>
                <w:color w:val="auto"/>
                <w:sz w:val="24"/>
                <w:szCs w:val="24"/>
                <w:lang w:eastAsia="zh-CN"/>
              </w:rPr>
              <w:t>检测</w:t>
            </w:r>
            <w:r>
              <w:rPr>
                <w:rFonts w:hint="eastAsia" w:asciiTheme="minorEastAsia" w:hAnsiTheme="minorEastAsia" w:eastAsiaTheme="minorEastAsia" w:cstheme="minorEastAsia"/>
                <w:color w:val="auto"/>
                <w:sz w:val="24"/>
                <w:szCs w:val="24"/>
              </w:rPr>
              <w:t>报告，且防护能力≥</w:t>
            </w:r>
            <w:r>
              <w:rPr>
                <w:rFonts w:hint="eastAsia" w:asciiTheme="minorEastAsia" w:hAnsi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TB的，得3分。须提供有效证明材料复印件并加盖投标人公章，否则不得分。投标人若为下级或分支机构的，提供上级机构证书的视为有效。</w:t>
            </w:r>
          </w:p>
        </w:tc>
      </w:tr>
      <w:tr w14:paraId="3EDDC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3" w:type="dxa"/>
            <w:vAlign w:val="center"/>
          </w:tcPr>
          <w:p w14:paraId="5791A154">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.运维监控服务要求</w:t>
            </w:r>
          </w:p>
        </w:tc>
        <w:tc>
          <w:tcPr>
            <w:tcW w:w="948" w:type="dxa"/>
            <w:vAlign w:val="center"/>
          </w:tcPr>
          <w:p w14:paraId="4756897D">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982" w:type="dxa"/>
            <w:vAlign w:val="center"/>
          </w:tcPr>
          <w:p w14:paraId="41439ECF">
            <w:pPr>
              <w:pStyle w:val="10"/>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否</w:t>
            </w:r>
          </w:p>
        </w:tc>
        <w:tc>
          <w:tcPr>
            <w:tcW w:w="4924" w:type="dxa"/>
            <w:vAlign w:val="top"/>
          </w:tcPr>
          <w:p w14:paraId="0257675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应能够结合采购人的运维系统运行情况，开展公安信息网、视频专网、移动信息网、互联网的服务器、网络、存储、操作系统、数据库、中间件、应用系统等监控策略梳理优化专项工作，提供服务解决方案，包含相关过程文档或截图，由评标委员会根据上述要点进行评分：描述周详、要点齐全无缺漏项、完全贴合公安业务实际的得3分；描述较周详、要点较齐全、较能贴合公安业务实际的得2.8分；方案要点、描述或材料稍有欠缺，但总体合理、可行的得2.</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分；未提供的或提供的内容与项目需求存在重大偏差的不得分。</w:t>
            </w:r>
          </w:p>
        </w:tc>
      </w:tr>
      <w:tr w14:paraId="7BAA5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3" w:type="dxa"/>
            <w:shd w:val="clear" w:color="auto" w:fill="auto"/>
            <w:vAlign w:val="center"/>
          </w:tcPr>
          <w:p w14:paraId="68F35173">
            <w:pPr>
              <w:pStyle w:val="10"/>
              <w:spacing w:line="360" w:lineRule="auto"/>
              <w:jc w:val="center"/>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.数据中心基础设施硬件质保服务能力</w:t>
            </w:r>
          </w:p>
        </w:tc>
        <w:tc>
          <w:tcPr>
            <w:tcW w:w="948" w:type="dxa"/>
            <w:shd w:val="clear" w:color="auto" w:fill="auto"/>
            <w:vAlign w:val="center"/>
          </w:tcPr>
          <w:p w14:paraId="4C937F8A">
            <w:pPr>
              <w:pStyle w:val="10"/>
              <w:spacing w:line="360" w:lineRule="auto"/>
              <w:jc w:val="center"/>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rPr>
              <w:t>3.00</w:t>
            </w:r>
          </w:p>
        </w:tc>
        <w:tc>
          <w:tcPr>
            <w:tcW w:w="982" w:type="dxa"/>
            <w:shd w:val="clear" w:color="auto" w:fill="auto"/>
            <w:vAlign w:val="center"/>
          </w:tcPr>
          <w:p w14:paraId="7CFA2E93">
            <w:pPr>
              <w:pStyle w:val="10"/>
              <w:spacing w:line="360" w:lineRule="auto"/>
              <w:jc w:val="center"/>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rPr>
              <w:t>否</w:t>
            </w:r>
          </w:p>
        </w:tc>
        <w:tc>
          <w:tcPr>
            <w:tcW w:w="4924" w:type="dxa"/>
            <w:shd w:val="clear" w:color="auto" w:fill="auto"/>
            <w:vAlign w:val="top"/>
          </w:tcPr>
          <w:p w14:paraId="4541EBC6">
            <w:pPr>
              <w:pStyle w:val="10"/>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rPr>
              <w:t>为保障本项目投标人中心机房各类硬件设备长期稳定运行，规避设备故障风险，投标人结合采购人中心机房现有基础环境设施和硬件设备实际情况，提供各类硬件设备质保服务解决方案（至少包含精密空调、UPS、安防设备、网络设备、服务器、存储设备、安全设备），由评标委员会进行评分：描述周详、要点齐全无缺漏项、完全贴合公安业务实际的得3分；描述较周详、要点较齐全、较能贴合公安业务实际的得2.8分；方案要点、描述或材料稍有欠缺，但总体合理、可行的得2.</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分；未提供的或提供的内容与项目需求存在重大偏差的不得分。</w:t>
            </w:r>
          </w:p>
        </w:tc>
      </w:tr>
      <w:tr w14:paraId="68299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3" w:type="dxa"/>
            <w:shd w:val="clear" w:color="auto" w:fill="auto"/>
            <w:vAlign w:val="center"/>
          </w:tcPr>
          <w:p w14:paraId="4C2AE60D">
            <w:pPr>
              <w:pStyle w:val="10"/>
              <w:spacing w:line="360" w:lineRule="auto"/>
              <w:jc w:val="center"/>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.音视频和通信基础设施保障能力</w:t>
            </w:r>
          </w:p>
        </w:tc>
        <w:tc>
          <w:tcPr>
            <w:tcW w:w="948" w:type="dxa"/>
            <w:shd w:val="clear" w:color="auto" w:fill="auto"/>
            <w:vAlign w:val="center"/>
          </w:tcPr>
          <w:p w14:paraId="5C65756E">
            <w:pPr>
              <w:pStyle w:val="10"/>
              <w:spacing w:line="360" w:lineRule="auto"/>
              <w:jc w:val="center"/>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rPr>
              <w:t>3.00</w:t>
            </w:r>
          </w:p>
        </w:tc>
        <w:tc>
          <w:tcPr>
            <w:tcW w:w="982" w:type="dxa"/>
            <w:shd w:val="clear" w:color="auto" w:fill="auto"/>
            <w:vAlign w:val="center"/>
          </w:tcPr>
          <w:p w14:paraId="4697AC41">
            <w:pPr>
              <w:pStyle w:val="10"/>
              <w:spacing w:line="360" w:lineRule="auto"/>
              <w:jc w:val="center"/>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rPr>
              <w:t>否</w:t>
            </w:r>
          </w:p>
        </w:tc>
        <w:tc>
          <w:tcPr>
            <w:tcW w:w="4924" w:type="dxa"/>
            <w:shd w:val="clear" w:color="auto" w:fill="auto"/>
            <w:vAlign w:val="top"/>
          </w:tcPr>
          <w:p w14:paraId="6716977D">
            <w:pPr>
              <w:pStyle w:val="10"/>
              <w:spacing w:line="360" w:lineRule="auto"/>
              <w:jc w:val="both"/>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rPr>
              <w:t>为保证本项目</w:t>
            </w:r>
            <w:r>
              <w:rPr>
                <w:rFonts w:hint="eastAsia" w:asciiTheme="minorEastAsia" w:hAnsiTheme="minorEastAsia" w:cstheme="minorEastAsia"/>
                <w:color w:val="auto"/>
                <w:sz w:val="24"/>
                <w:szCs w:val="24"/>
                <w:lang w:eastAsia="zh-CN"/>
              </w:rPr>
              <w:t>采购</w:t>
            </w:r>
            <w:r>
              <w:rPr>
                <w:rFonts w:hint="eastAsia" w:asciiTheme="minorEastAsia" w:hAnsiTheme="minorEastAsia" w:eastAsiaTheme="minorEastAsia" w:cstheme="minorEastAsia"/>
                <w:color w:val="auto"/>
                <w:sz w:val="24"/>
                <w:szCs w:val="24"/>
              </w:rPr>
              <w:t>人音视频设备、通信基础设施和通信线路稳定、安全、规范运行，投标人结合采购人现有设备实际情况，提供各类硬件设备和通信线路的服务保障解决方案（至少包括设备台账、日常监测巡检、告警响应、应急演练及故障处置），由评标委员会进行评分：描述周详、要点齐全无缺漏项、完全贴合公安业务实际的得3分；描述较周详、要点较齐全、较能贴合公安业务实际的得2.8分；方案要点、描述或材料稍有欠缺，但总体合理、可行的得2.</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分；未提供的或提供的内容与项目需求存在重大偏差的不得分。</w:t>
            </w:r>
          </w:p>
        </w:tc>
      </w:tr>
      <w:tr w14:paraId="62DDC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3" w:type="dxa"/>
            <w:vAlign w:val="center"/>
          </w:tcPr>
          <w:p w14:paraId="06CE1FCF">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.安全服务能力</w:t>
            </w:r>
          </w:p>
        </w:tc>
        <w:tc>
          <w:tcPr>
            <w:tcW w:w="948" w:type="dxa"/>
            <w:vAlign w:val="center"/>
          </w:tcPr>
          <w:p w14:paraId="2B32EDCF">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982" w:type="dxa"/>
            <w:vAlign w:val="center"/>
          </w:tcPr>
          <w:p w14:paraId="0873B8BF">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w:t>
            </w:r>
          </w:p>
        </w:tc>
        <w:tc>
          <w:tcPr>
            <w:tcW w:w="4924" w:type="dxa"/>
          </w:tcPr>
          <w:p w14:paraId="2C1A134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保证本项目采购人整体网络、业务系统及数据的安全，投标人提供符合采购人需求的安全运营闭环机制解决方案，方案内容包括但不限于日常安全事务管理、边界备案管理、安全考核管理、省市安全事件联动等内容、并且能够将各设区市安全运营实时数据进行展示。投标人须提供服务解决方案，由评标委员会进行评分：描述周详、要点齐全无缺漏项、完全贴合公安业务实际的得3分；描述较周详、要点较齐全、较能贴合公安业务实际的得2.8分；方案要点、描述或材料稍有欠缺，但总体合理、可行的得2.</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分；未提供的或提供的内容与项目需求存在重大偏差的不得分。</w:t>
            </w:r>
          </w:p>
        </w:tc>
      </w:tr>
      <w:tr w14:paraId="04B80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3" w:type="dxa"/>
            <w:vAlign w:val="center"/>
          </w:tcPr>
          <w:p w14:paraId="41DA17F8">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.基础软件服务保障能力</w:t>
            </w:r>
          </w:p>
        </w:tc>
        <w:tc>
          <w:tcPr>
            <w:tcW w:w="948" w:type="dxa"/>
            <w:vAlign w:val="center"/>
          </w:tcPr>
          <w:p w14:paraId="13052D2B">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.00</w:t>
            </w:r>
          </w:p>
        </w:tc>
        <w:tc>
          <w:tcPr>
            <w:tcW w:w="982" w:type="dxa"/>
            <w:vAlign w:val="center"/>
          </w:tcPr>
          <w:p w14:paraId="134B39E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w:t>
            </w:r>
          </w:p>
        </w:tc>
        <w:tc>
          <w:tcPr>
            <w:tcW w:w="4924" w:type="dxa"/>
          </w:tcPr>
          <w:p w14:paraId="2F5C4D3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应能够结合本项目的基础软件服务要求，提供基础软件服务保障运维解决方案（至少包括数据库、中间件、容灾备份、虚拟化、操作系统和运维软件），由评标委员会根据上述要点进行评分：描述周详、材料齐全、贴合公安业务实际的得</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分；描述较周详、要点较齐全、较能贴合公安业务实际的得</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分；方案要点、描述或材料稍有欠缺，但总体合理、可行的得</w:t>
            </w:r>
            <w:r>
              <w:rPr>
                <w:rFonts w:hint="eastAsia" w:asciiTheme="minorEastAsia" w:hAnsiTheme="minorEastAsia" w:cstheme="minorEastAsia"/>
                <w:color w:val="auto"/>
                <w:sz w:val="24"/>
                <w:szCs w:val="24"/>
                <w:lang w:val="en-US" w:eastAsia="zh-CN"/>
              </w:rPr>
              <w:t>2.6</w:t>
            </w:r>
            <w:r>
              <w:rPr>
                <w:rFonts w:hint="eastAsia" w:asciiTheme="minorEastAsia" w:hAnsiTheme="minorEastAsia" w:eastAsiaTheme="minorEastAsia" w:cstheme="minorEastAsia"/>
                <w:color w:val="auto"/>
                <w:sz w:val="24"/>
                <w:szCs w:val="24"/>
              </w:rPr>
              <w:t>分；其余情况或未提供的不得分。</w:t>
            </w:r>
          </w:p>
        </w:tc>
      </w:tr>
      <w:tr w14:paraId="6B1D5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3" w:type="dxa"/>
            <w:vAlign w:val="center"/>
          </w:tcPr>
          <w:p w14:paraId="6106BC83">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.应用软件服务保障能力</w:t>
            </w:r>
          </w:p>
        </w:tc>
        <w:tc>
          <w:tcPr>
            <w:tcW w:w="948" w:type="dxa"/>
            <w:vAlign w:val="center"/>
          </w:tcPr>
          <w:p w14:paraId="52F6473A">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.00</w:t>
            </w:r>
          </w:p>
        </w:tc>
        <w:tc>
          <w:tcPr>
            <w:tcW w:w="982" w:type="dxa"/>
            <w:vAlign w:val="center"/>
          </w:tcPr>
          <w:p w14:paraId="5A2FFE9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w:t>
            </w:r>
          </w:p>
        </w:tc>
        <w:tc>
          <w:tcPr>
            <w:tcW w:w="4924" w:type="dxa"/>
          </w:tcPr>
          <w:p w14:paraId="0D5726A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保证本项目采购人过保相关系统正常、稳定、高效运行，投标人需结合采购人现有过保系统实际情况，提供过保系统运维保障解决方案（至少包含驻点巡检、应急演练、故障处理及性能调优），由评标委员会根据上述要点进行评分：描述周详、要点齐全无缺漏项、完全贴合公安业务实际的得</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分；描述较周详、要点较齐全、较能贴合公安业务实际的得</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.8分；方案要点、描述或材料稍有欠缺，但总体合理、可行的得</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分；未提供的或提供的内容与项目需求存在重大偏差的不得分。</w:t>
            </w:r>
          </w:p>
        </w:tc>
      </w:tr>
      <w:tr w14:paraId="0C128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3" w:type="dxa"/>
            <w:vAlign w:val="center"/>
          </w:tcPr>
          <w:p w14:paraId="46CDC1E8">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.应急响应服务保障能力</w:t>
            </w:r>
          </w:p>
        </w:tc>
        <w:tc>
          <w:tcPr>
            <w:tcW w:w="948" w:type="dxa"/>
            <w:vAlign w:val="center"/>
          </w:tcPr>
          <w:p w14:paraId="0DA3269D">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982" w:type="dxa"/>
            <w:vAlign w:val="center"/>
          </w:tcPr>
          <w:p w14:paraId="48342E1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w:t>
            </w:r>
          </w:p>
        </w:tc>
        <w:tc>
          <w:tcPr>
            <w:tcW w:w="4924" w:type="dxa"/>
          </w:tcPr>
          <w:p w14:paraId="7B2E7DB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应能够结合本项目服务涉及到的产品或服务的运维告警情况，提供及时可靠的应急响应服务，及时消除运维告警不良后果，并总结运维告警形成、发生的原因，提供运维应急响应预案，由评标委员会根据上述要点进行评分：描述周详、要点齐全无缺漏项、完全贴合公安业务实际的得3分；描述较周详、要点较齐全、较能贴合公安业务实际的得2.8分；方案要点、描述或材料稍有欠缺，但总体合理、可行的得2.</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分；未提供的或提供的内容与项目需求存在重大偏差的不得分。</w:t>
            </w:r>
          </w:p>
        </w:tc>
      </w:tr>
      <w:tr w14:paraId="1EDE3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3" w:type="dxa"/>
            <w:vAlign w:val="center"/>
          </w:tcPr>
          <w:p w14:paraId="6ACBCF63">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.硬件维护服务团队能力</w:t>
            </w:r>
          </w:p>
        </w:tc>
        <w:tc>
          <w:tcPr>
            <w:tcW w:w="948" w:type="dxa"/>
            <w:vAlign w:val="center"/>
          </w:tcPr>
          <w:p w14:paraId="66C7CC3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982" w:type="dxa"/>
            <w:vAlign w:val="center"/>
          </w:tcPr>
          <w:p w14:paraId="24435668">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4924" w:type="dxa"/>
          </w:tcPr>
          <w:p w14:paraId="559D348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根据投标人拟投入本项目的技术支撑团队（除项目经理外）具备云计算技术服务能力的情况进行评分：每提供1份与履行本项目云计算相关技术能力的高级认证证书</w:t>
            </w:r>
            <w:r>
              <w:rPr>
                <w:rFonts w:hint="eastAsia" w:asciiTheme="minorEastAsia" w:hAnsiTheme="minorEastAsia" w:cstheme="minorEastAsia"/>
                <w:color w:val="auto"/>
                <w:sz w:val="24"/>
                <w:szCs w:val="24"/>
                <w:lang w:val="en-US" w:eastAsia="zh-CN"/>
              </w:rPr>
              <w:t>或2</w:t>
            </w:r>
            <w:r>
              <w:rPr>
                <w:rFonts w:hint="eastAsia" w:asciiTheme="minorEastAsia" w:hAnsiTheme="minorEastAsia" w:eastAsiaTheme="minorEastAsia" w:cstheme="minorEastAsia"/>
                <w:color w:val="auto"/>
                <w:sz w:val="24"/>
                <w:szCs w:val="24"/>
              </w:rPr>
              <w:t>份中级认证证书的得0.</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须提供技术服务团队人员的相关认证证书复印件及至提交投标文件截止时间前六个月（不含投标截止时间的当月）内任意一个月投标人为其缴纳的社保证明材料。团队人员若出现一人多证，仅计分一次，不重复计分，按最高级别证书计算得分。同一个人在本项目不同团队不重复得分。佐证材料未提供或提供不全的不得分。（满分3分）</w:t>
            </w:r>
          </w:p>
        </w:tc>
      </w:tr>
      <w:tr w14:paraId="6411B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3" w:type="dxa"/>
            <w:vAlign w:val="center"/>
          </w:tcPr>
          <w:p w14:paraId="6EF9B74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19</w:t>
            </w:r>
            <w:r>
              <w:rPr>
                <w:rFonts w:hint="eastAsia" w:asciiTheme="minorEastAsia" w:hAnsiTheme="minorEastAsia" w:eastAsiaTheme="minorEastAsia" w:cstheme="minorEastAsia"/>
                <w:color w:val="auto"/>
                <w:sz w:val="24"/>
                <w:szCs w:val="24"/>
              </w:rPr>
              <w:t>.基础软件运维团队能力</w:t>
            </w:r>
          </w:p>
        </w:tc>
        <w:tc>
          <w:tcPr>
            <w:tcW w:w="948" w:type="dxa"/>
            <w:vAlign w:val="center"/>
          </w:tcPr>
          <w:p w14:paraId="233C36A4">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982" w:type="dxa"/>
            <w:vAlign w:val="center"/>
          </w:tcPr>
          <w:p w14:paraId="3992DDE4">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4924" w:type="dxa"/>
          </w:tcPr>
          <w:p w14:paraId="4CC0D35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拟投入本项目的技术支撑团队（除项目经理外）具备操作系统或数据库或中间件等基础软件技术服务能力的情况进行评分：每提供1份与履行本项目操作系统或数据库或中间件等基础软件相关技术能力的高级认证证书</w:t>
            </w:r>
            <w:r>
              <w:rPr>
                <w:rFonts w:hint="eastAsia" w:asciiTheme="minorEastAsia" w:hAnsiTheme="minorEastAsia" w:cstheme="minorEastAsia"/>
                <w:color w:val="auto"/>
                <w:sz w:val="24"/>
                <w:szCs w:val="24"/>
                <w:lang w:val="en-US" w:eastAsia="zh-CN"/>
              </w:rPr>
              <w:t>或2</w:t>
            </w:r>
            <w:r>
              <w:rPr>
                <w:rFonts w:hint="eastAsia" w:asciiTheme="minorEastAsia" w:hAnsiTheme="minorEastAsia" w:eastAsiaTheme="minorEastAsia" w:cstheme="minorEastAsia"/>
                <w:color w:val="auto"/>
                <w:sz w:val="24"/>
                <w:szCs w:val="24"/>
              </w:rPr>
              <w:t>份中级认证证书的得0</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须提供技术服务团队人员的相关认证证书复印件及至提交投标文件截止时间前六个月（不含投标截止时间的当月）内任意一个月投标人为其缴纳的社保证明材料。团队人员若出现一人多证，仅计分一次，不重复计分，按最高级别证书计算得分。同一个人在本项目不同团队不重复得分。佐证材料未提供或提供不全的不得分。（满分3分）</w:t>
            </w:r>
          </w:p>
        </w:tc>
      </w:tr>
      <w:tr w14:paraId="335D0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3" w:type="dxa"/>
            <w:vAlign w:val="center"/>
          </w:tcPr>
          <w:p w14:paraId="6CDCE9D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.社会化安全服务团队能力</w:t>
            </w:r>
          </w:p>
        </w:tc>
        <w:tc>
          <w:tcPr>
            <w:tcW w:w="948" w:type="dxa"/>
            <w:vAlign w:val="center"/>
          </w:tcPr>
          <w:p w14:paraId="759D512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982" w:type="dxa"/>
            <w:vAlign w:val="center"/>
          </w:tcPr>
          <w:p w14:paraId="378D42E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4924" w:type="dxa"/>
          </w:tcPr>
          <w:p w14:paraId="210FCC1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根据投标人拟投入本项目的安全服务团队（除项目经理外）具备安全服务能力的情况进行评分：每提供1份与履行本项目数据中心信息安全相关技术能力的高级认证证书</w:t>
            </w:r>
            <w:r>
              <w:rPr>
                <w:rFonts w:hint="eastAsia" w:asciiTheme="minorEastAsia" w:hAnsiTheme="minorEastAsia" w:cstheme="minorEastAsia"/>
                <w:color w:val="auto"/>
                <w:sz w:val="24"/>
                <w:szCs w:val="24"/>
                <w:lang w:val="en-US" w:eastAsia="zh-CN"/>
              </w:rPr>
              <w:t>或2</w:t>
            </w:r>
            <w:r>
              <w:rPr>
                <w:rFonts w:hint="eastAsia" w:asciiTheme="minorEastAsia" w:hAnsiTheme="minorEastAsia" w:eastAsiaTheme="minorEastAsia" w:cstheme="minorEastAsia"/>
                <w:color w:val="auto"/>
                <w:sz w:val="24"/>
                <w:szCs w:val="24"/>
              </w:rPr>
              <w:t>份中级认证证书的得0.</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须提供技术服务团队人员的相关认证证书复印件及至提交投标文件截止时间前六个月（不含投标截止时间的当月）内任意一个月投标人为其缴纳的社保证明材料。团队人员若出现一人多证，仅计分一次，不重复计分，按最高级别证书计算得分。同一个人在本项目不同团队不重复得分。佐证材料未提供或提供不全的不得分。（满分3分）</w:t>
            </w:r>
          </w:p>
        </w:tc>
      </w:tr>
    </w:tbl>
    <w:p w14:paraId="5C72E0B4">
      <w:pPr>
        <w:pStyle w:val="10"/>
        <w:spacing w:line="360" w:lineRule="auto"/>
        <w:jc w:val="both"/>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商务项（F3×A3）满分为7.0000分</w:t>
      </w:r>
    </w:p>
    <w:tbl>
      <w:tblPr>
        <w:tblStyle w:val="6"/>
        <w:tblW w:w="834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95"/>
        <w:gridCol w:w="832"/>
        <w:gridCol w:w="982"/>
        <w:gridCol w:w="4938"/>
      </w:tblGrid>
      <w:tr w14:paraId="2B490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5" w:type="dxa"/>
          </w:tcPr>
          <w:p w14:paraId="1E26284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w:t>
            </w:r>
          </w:p>
        </w:tc>
        <w:tc>
          <w:tcPr>
            <w:tcW w:w="832" w:type="dxa"/>
          </w:tcPr>
          <w:p w14:paraId="5307CEF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分值</w:t>
            </w:r>
          </w:p>
        </w:tc>
        <w:tc>
          <w:tcPr>
            <w:tcW w:w="982" w:type="dxa"/>
          </w:tcPr>
          <w:p w14:paraId="425F949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是否客观项</w:t>
            </w:r>
          </w:p>
        </w:tc>
        <w:tc>
          <w:tcPr>
            <w:tcW w:w="4938" w:type="dxa"/>
          </w:tcPr>
          <w:p w14:paraId="4F07853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描述</w:t>
            </w:r>
          </w:p>
        </w:tc>
      </w:tr>
      <w:tr w14:paraId="3615D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5" w:type="dxa"/>
          </w:tcPr>
          <w:p w14:paraId="37396EA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1.业绩</w:t>
            </w:r>
          </w:p>
        </w:tc>
        <w:tc>
          <w:tcPr>
            <w:tcW w:w="832" w:type="dxa"/>
          </w:tcPr>
          <w:p w14:paraId="121A79CD">
            <w:pPr>
              <w:pStyle w:val="10"/>
              <w:spacing w:line="36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982" w:type="dxa"/>
          </w:tcPr>
          <w:p w14:paraId="35D2399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4938" w:type="dxa"/>
          </w:tcPr>
          <w:p w14:paraId="2335C0E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根据投标人提供自202</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月1日至提交投标文件截止时间前(日期以验收日期为准)，由投标人自身已完成的同类业绩情况，由评委进行评分：每提供一份完整有效业绩的得1分，满分3分。投标人须列表（至少包括：项目名称、用户单位名称、合同签订日期、验收日期，格式自拟）并提供相关业绩的以下证明材料：①中标（成交）公告（提供相关网站中标（成交）公告的下载网页并注明网址）、②中标（成交）通知书复印件、③合同文本复印件、④能够证明该业绩已获用户单位验收合格的相关证明文件复印件。未提供或提供不全的该项业绩不得分。</w:t>
            </w:r>
          </w:p>
        </w:tc>
      </w:tr>
      <w:tr w14:paraId="3B8B4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95" w:type="dxa"/>
          </w:tcPr>
          <w:p w14:paraId="01F00B1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b w:val="0"/>
                <w:bCs w:val="0"/>
                <w:color w:val="auto"/>
                <w:sz w:val="24"/>
                <w:szCs w:val="24"/>
              </w:rPr>
              <w:t>项目经理能力</w:t>
            </w:r>
          </w:p>
        </w:tc>
        <w:tc>
          <w:tcPr>
            <w:tcW w:w="832" w:type="dxa"/>
          </w:tcPr>
          <w:p w14:paraId="67CAED67">
            <w:pPr>
              <w:pStyle w:val="10"/>
              <w:spacing w:line="36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w:t>
            </w:r>
          </w:p>
        </w:tc>
        <w:tc>
          <w:tcPr>
            <w:tcW w:w="982" w:type="dxa"/>
          </w:tcPr>
          <w:p w14:paraId="016B3EB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4938" w:type="dxa"/>
          </w:tcPr>
          <w:p w14:paraId="2C79360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rPr>
              <w:t>投标人拟投入本项目的项目经理（1人）同时具有信息系统项目管理师证书和系统规划与管理师证书的得2分；在此基础上提供系统分析师或系统架构设计师或网络规划设计师证书的得1分。须提供项目经理相关证书复印件及至提交投标文件截止时间前六个月（不含投标截止时间的当月）内任意一个月投标人为其缴纳的社保证明材料。未提供或提供不全的不得分。（满分3分）</w:t>
            </w:r>
          </w:p>
        </w:tc>
      </w:tr>
      <w:tr w14:paraId="69A01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95" w:type="dxa"/>
          </w:tcPr>
          <w:p w14:paraId="276958A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3.售后服务响应能力</w:t>
            </w:r>
          </w:p>
        </w:tc>
        <w:tc>
          <w:tcPr>
            <w:tcW w:w="832" w:type="dxa"/>
          </w:tcPr>
          <w:p w14:paraId="091B14B7">
            <w:pPr>
              <w:pStyle w:val="10"/>
              <w:spacing w:line="36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w:t>
            </w:r>
          </w:p>
        </w:tc>
        <w:tc>
          <w:tcPr>
            <w:tcW w:w="982" w:type="dxa"/>
          </w:tcPr>
          <w:p w14:paraId="1CCA9D7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w:t>
            </w:r>
          </w:p>
        </w:tc>
        <w:tc>
          <w:tcPr>
            <w:tcW w:w="4938" w:type="dxa"/>
          </w:tcPr>
          <w:p w14:paraId="30C51E0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承诺中标后，从故障发生时间起算，非工作时间（以采购人的工作日上班时间为准）的相关人员在10分钟内应急响应和20分钟内到达采购人运维基地处理故障的得1分。须提供专项承诺函（格式自拟），未提供的或提供不符合要求的不得分。</w:t>
            </w:r>
          </w:p>
        </w:tc>
      </w:tr>
    </w:tbl>
    <w:p w14:paraId="3548A52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异常低价审查</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27"/>
        <w:gridCol w:w="5879"/>
      </w:tblGrid>
      <w:tr w14:paraId="2139B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27" w:type="dxa"/>
          </w:tcPr>
          <w:p w14:paraId="06C43EA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w:t>
            </w:r>
          </w:p>
        </w:tc>
        <w:tc>
          <w:tcPr>
            <w:tcW w:w="5879" w:type="dxa"/>
          </w:tcPr>
          <w:p w14:paraId="362A517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描述</w:t>
            </w:r>
          </w:p>
        </w:tc>
      </w:tr>
      <w:tr w14:paraId="73407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27" w:type="dxa"/>
          </w:tcPr>
          <w:p w14:paraId="3021E57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异常低价审查</w:t>
            </w:r>
          </w:p>
        </w:tc>
        <w:tc>
          <w:tcPr>
            <w:tcW w:w="5879" w:type="dxa"/>
          </w:tcPr>
          <w:p w14:paraId="4D4FCCD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根据《关于推动解决政府采购异常低价问题的通知》（财库〔2026〕2号）等相关规定，政府采购评审中出现下列情形之一的，评审委员会应当启动异常低价投标（响应）审查程序： （1）基础环境运维服务响应报价低于全部通过符合性审查供应商响应报价平均值50%的，即基础环境运维服务响应报价&lt;全部通过符合性审查供应商响应报价平均值×50%。 （2）基础环境运维服务响应报价低于通过符合性审查且报价次低供应商响应报价50%的，即基础环境运维服务响应报价&lt;通过符合性审查且报价次低供应商响应报价×50%。 （3）基础环境运维服务响应报价低于最高限价45%的，即基础环境运维服务响应报价&lt;最高限价×45%。 （4）其他评审委员会认为供应商报价过低（数量报价过高），有可能影响产品质量或者不能诚信履约的情形。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5）评审委员会启动异常低价投标（响应）审查后，应当要求相关投标人在45分钟内对投标（响应）价格作出解释，提供项目具体成本测算等与报价合理性相关的书面说明及必要的证明材料。</w:t>
            </w:r>
          </w:p>
        </w:tc>
      </w:tr>
    </w:tbl>
    <w:p w14:paraId="6571BAB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BE40D7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8F3A65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65E300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异常低价投标（响应）审查的启动原因、审查意见和审查结果应当在评审报告中记录，并随供应商提供的相关书面说明及证明材料，以及评审委员会有关互联网浏览、查询历史一并归档。</w:t>
      </w:r>
    </w:p>
    <w:p w14:paraId="6889475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※除本章第6.3条第（3）款规定情形和落实政府采购政策需进行的价格扣除情形外，不能对投标人的投标报价进行任何调整。</w:t>
      </w:r>
    </w:p>
    <w:p w14:paraId="5A58166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（3）中标候选人排列规则顺序如下：</w:t>
      </w:r>
    </w:p>
    <w:p w14:paraId="4C87E09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a.按照评标总得分（FA）由高到低顺序排列。</w:t>
      </w:r>
    </w:p>
    <w:p w14:paraId="37304C6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b.评标总得分（FA）相同的，按照评标价（即价格扣除后的投标报价）由低到高顺序排列。</w:t>
      </w:r>
    </w:p>
    <w:p w14:paraId="712F1F4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c.评标总得分（FA）且评标价（即价格扣除后的投标报价）相同的并列。</w:t>
      </w:r>
    </w:p>
    <w:p w14:paraId="1148FDE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8、其他规定</w:t>
      </w:r>
    </w:p>
    <w:p w14:paraId="24B485B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8.1评标应全程保密且不得透露给任一投标人或与评标工作无关的人员。</w:t>
      </w:r>
    </w:p>
    <w:p w14:paraId="189B8D1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8.2评标将进行全程实时录音录像，录音录像资料随采购文件一并存档。</w:t>
      </w:r>
    </w:p>
    <w:p w14:paraId="70BAD0D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522AD0C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8.4其他：</w:t>
      </w:r>
    </w:p>
    <w:p w14:paraId="1821D19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无 </w:t>
      </w:r>
    </w:p>
    <w:p w14:paraId="6AC5E3F0">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03E247E7">
      <w:pPr>
        <w:pStyle w:val="10"/>
        <w:spacing w:line="360" w:lineRule="auto"/>
        <w:ind w:firstLine="480"/>
        <w:jc w:val="both"/>
        <w:rPr>
          <w:rFonts w:hint="eastAsia" w:asciiTheme="minorEastAsia" w:hAnsiTheme="minorEastAsia" w:eastAsiaTheme="minorEastAsia" w:cstheme="minorEastAsia"/>
          <w:color w:val="auto"/>
          <w:sz w:val="24"/>
          <w:szCs w:val="24"/>
        </w:rPr>
      </w:pPr>
    </w:p>
    <w:p w14:paraId="1A245A62">
      <w:pPr>
        <w:pStyle w:val="10"/>
        <w:spacing w:line="360" w:lineRule="auto"/>
        <w:jc w:val="center"/>
        <w:outlineLvl w:val="1"/>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第五章 招标内容及要求</w:t>
      </w:r>
    </w:p>
    <w:p w14:paraId="60051EA2">
      <w:pPr>
        <w:pStyle w:val="10"/>
        <w:spacing w:line="360" w:lineRule="auto"/>
        <w:jc w:val="both"/>
        <w:outlineLvl w:val="2"/>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一、项目概况（采购标的）</w:t>
      </w:r>
    </w:p>
    <w:p w14:paraId="45127392">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本项目为福建省公安厅信息化维保服务项目，招标有效期为</w:t>
      </w:r>
      <w:r>
        <w:rPr>
          <w:rFonts w:hint="eastAsia" w:asciiTheme="minorEastAsia" w:hAnsi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rPr>
        <w:t>年，项目内容包括</w:t>
      </w:r>
      <w:r>
        <w:rPr>
          <w:rFonts w:hint="eastAsia" w:asciiTheme="minorEastAsia" w:hAnsiTheme="minorEastAsia" w:cstheme="minorEastAsia"/>
          <w:color w:val="auto"/>
          <w:sz w:val="24"/>
          <w:szCs w:val="24"/>
          <w:lang w:eastAsia="zh-CN"/>
        </w:rPr>
        <w:t>各类</w:t>
      </w:r>
      <w:r>
        <w:rPr>
          <w:rFonts w:hint="eastAsia" w:asciiTheme="minorEastAsia" w:hAnsiTheme="minorEastAsia" w:eastAsiaTheme="minorEastAsia" w:cstheme="minorEastAsia"/>
          <w:color w:val="auto"/>
          <w:sz w:val="24"/>
          <w:szCs w:val="24"/>
        </w:rPr>
        <w:t>基础软硬件维保、</w:t>
      </w:r>
      <w:r>
        <w:rPr>
          <w:rFonts w:hint="eastAsia" w:asciiTheme="minorEastAsia" w:hAnsiTheme="minorEastAsia" w:cstheme="minorEastAsia"/>
          <w:color w:val="auto"/>
          <w:sz w:val="24"/>
          <w:szCs w:val="24"/>
          <w:lang w:eastAsia="zh-CN"/>
        </w:rPr>
        <w:t>核心</w:t>
      </w:r>
      <w:r>
        <w:rPr>
          <w:rFonts w:hint="eastAsia" w:asciiTheme="minorEastAsia" w:hAnsiTheme="minorEastAsia" w:eastAsiaTheme="minorEastAsia" w:cstheme="minorEastAsia"/>
          <w:color w:val="auto"/>
          <w:sz w:val="24"/>
          <w:szCs w:val="24"/>
        </w:rPr>
        <w:t>机房</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eastAsia="zh-CN"/>
        </w:rPr>
        <w:t>政务外网云资源服务</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eastAsia="zh-CN"/>
        </w:rPr>
        <w:t>社会化</w:t>
      </w:r>
      <w:r>
        <w:rPr>
          <w:rFonts w:hint="eastAsia" w:asciiTheme="minorEastAsia" w:hAnsiTheme="minorEastAsia" w:eastAsiaTheme="minorEastAsia" w:cstheme="minorEastAsia"/>
          <w:color w:val="auto"/>
          <w:sz w:val="24"/>
          <w:szCs w:val="24"/>
        </w:rPr>
        <w:t>安全服务和通信线路</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。原信息化服务合同将于2026年9月9日到期</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原专项</w:t>
      </w:r>
      <w:r>
        <w:rPr>
          <w:rFonts w:hint="eastAsia" w:asciiTheme="minorEastAsia" w:hAnsiTheme="minorEastAsia" w:eastAsiaTheme="minorEastAsia" w:cstheme="minorEastAsia"/>
          <w:color w:val="auto"/>
          <w:sz w:val="24"/>
          <w:szCs w:val="24"/>
        </w:rPr>
        <w:t>线路</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服务合同</w:t>
      </w:r>
      <w:r>
        <w:rPr>
          <w:rFonts w:hint="eastAsia" w:asciiTheme="minorEastAsia" w:hAnsiTheme="minorEastAsia" w:cstheme="minorEastAsia"/>
          <w:color w:val="auto"/>
          <w:sz w:val="24"/>
          <w:szCs w:val="24"/>
          <w:lang w:val="en-US" w:eastAsia="zh-CN"/>
        </w:rPr>
        <w:t>将</w:t>
      </w:r>
      <w:r>
        <w:rPr>
          <w:rFonts w:hint="eastAsia" w:asciiTheme="minorEastAsia" w:hAnsiTheme="minorEastAsia" w:eastAsiaTheme="minorEastAsia" w:cstheme="minorEastAsia"/>
          <w:color w:val="auto"/>
          <w:sz w:val="24"/>
          <w:szCs w:val="24"/>
        </w:rPr>
        <w:t>于2026年12月31日到期</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需将专项线路租用合同到期后的服务加入本项目服务要求</w:t>
      </w:r>
      <w:r>
        <w:rPr>
          <w:rFonts w:hint="eastAsia" w:asciiTheme="minorEastAsia" w:hAnsiTheme="minorEastAsia" w:eastAsiaTheme="minorEastAsia" w:cstheme="minorEastAsia"/>
          <w:color w:val="auto"/>
          <w:sz w:val="24"/>
          <w:szCs w:val="24"/>
        </w:rPr>
        <w:t>。采购人现有数据中心分布于三个机房，第一个位于福建省公安厅内（以下简称“中心机房”，属于自建机房），第二个位于福州长乐福建电信东南信息园（以下简称“电信机房”，属于IDC</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原信息化服务合同</w:t>
      </w:r>
      <w:r>
        <w:rPr>
          <w:rFonts w:hint="eastAsia" w:asciiTheme="minorEastAsia" w:hAnsiTheme="minorEastAsia" w:cstheme="minorEastAsia"/>
          <w:color w:val="auto"/>
          <w:sz w:val="24"/>
          <w:szCs w:val="24"/>
          <w:lang w:val="en-US" w:eastAsia="zh-CN"/>
        </w:rPr>
        <w:t>中交付的机房</w:t>
      </w:r>
      <w:r>
        <w:rPr>
          <w:rFonts w:hint="eastAsia" w:asciiTheme="minorEastAsia" w:hAnsiTheme="minorEastAsia" w:eastAsiaTheme="minorEastAsia" w:cstheme="minorEastAsia"/>
          <w:color w:val="auto"/>
          <w:sz w:val="24"/>
          <w:szCs w:val="24"/>
        </w:rPr>
        <w:t>），第三个位于福州长乐中国移动（福建福州）数据中心（以下简称“移动机房”，属于IDC</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w:t>
      </w:r>
    </w:p>
    <w:p w14:paraId="3824CE65">
      <w:pPr>
        <w:pStyle w:val="10"/>
        <w:spacing w:line="360" w:lineRule="auto"/>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二、技术和服务要求（以“★”标示的内容为不允许负偏离的实质性要求）</w:t>
      </w:r>
    </w:p>
    <w:p w14:paraId="2D4BBCA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★注：以下所有要求均为不允许偏离的实质性要求，任一项负偏离的，按无效投标处理。</w:t>
      </w:r>
    </w:p>
    <w:p w14:paraId="3DA79802">
      <w:pPr>
        <w:pStyle w:val="10"/>
        <w:numPr>
          <w:ilvl w:val="0"/>
          <w:numId w:val="0"/>
        </w:numPr>
        <w:spacing w:line="360" w:lineRule="auto"/>
        <w:ind w:firstLine="482" w:firstLineChars="200"/>
        <w:outlineLvl w:val="3"/>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eastAsia="zh-CN"/>
        </w:rPr>
        <w:t>（一）</w:t>
      </w:r>
      <w:r>
        <w:rPr>
          <w:rFonts w:hint="eastAsia" w:asciiTheme="minorEastAsia" w:hAnsiTheme="minorEastAsia" w:eastAsiaTheme="minorEastAsia" w:cstheme="minorEastAsia"/>
          <w:b/>
          <w:color w:val="auto"/>
          <w:sz w:val="24"/>
          <w:szCs w:val="24"/>
        </w:rPr>
        <w:t>总体要求</w:t>
      </w:r>
    </w:p>
    <w:p w14:paraId="137B85A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基础软硬件和应用软件维护范围限于采购人已过保资产（即原厂保修期已过且未另行购买维保服务的资产），不包含未过保或已购买服务的资产。投标人提供的基础软硬件维护或换新服务，应确保适配原有环境或系统，性能不低于原有配置。服务期内，若维保概算清单内的资产下线，则从下线之日起核减该资产剩余服务期的维保费用。服务期内如因业务变化导致维保范围变化的，按评审确定的维保系数重新测算费用：若重新测算的费用不低于原合同价，则合同价不变；若低于原合同价，则核减差额，合同价相应调减。</w:t>
      </w:r>
    </w:p>
    <w:p w14:paraId="34B5F1B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本项目服务有效期为一年</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其中</w:t>
      </w:r>
      <w:r>
        <w:rPr>
          <w:rFonts w:hint="eastAsia" w:asciiTheme="minorEastAsia" w:hAnsiTheme="minorEastAsia" w:eastAsiaTheme="minorEastAsia" w:cstheme="minorEastAsia"/>
          <w:b/>
          <w:bCs/>
          <w:color w:val="auto"/>
          <w:sz w:val="24"/>
          <w:szCs w:val="24"/>
        </w:rPr>
        <w:t>专项线路</w:t>
      </w:r>
      <w:r>
        <w:rPr>
          <w:rFonts w:hint="eastAsia" w:asciiTheme="minorEastAsia" w:hAnsiTheme="minorEastAsia" w:cstheme="minorEastAsia"/>
          <w:b/>
          <w:bCs/>
          <w:color w:val="auto"/>
          <w:sz w:val="24"/>
          <w:szCs w:val="24"/>
          <w:lang w:eastAsia="zh-CN"/>
        </w:rPr>
        <w:t>租用</w:t>
      </w:r>
      <w:r>
        <w:rPr>
          <w:rFonts w:hint="eastAsia" w:asciiTheme="minorEastAsia" w:hAnsiTheme="minorEastAsia" w:eastAsiaTheme="minorEastAsia" w:cstheme="minorEastAsia"/>
          <w:b/>
          <w:bCs/>
          <w:color w:val="auto"/>
          <w:sz w:val="24"/>
          <w:szCs w:val="24"/>
        </w:rPr>
        <w:t>服务的服务期自2027年1月1日起</w:t>
      </w:r>
      <w:r>
        <w:rPr>
          <w:rFonts w:hint="eastAsia" w:asciiTheme="minorEastAsia" w:hAnsiTheme="minorEastAsia" w:cstheme="minorEastAsia"/>
          <w:b/>
          <w:bCs/>
          <w:color w:val="auto"/>
          <w:sz w:val="24"/>
          <w:szCs w:val="24"/>
          <w:lang w:val="en-US" w:eastAsia="zh-CN"/>
        </w:rPr>
        <w:t>算</w:t>
      </w:r>
      <w:r>
        <w:rPr>
          <w:rFonts w:hint="eastAsia" w:asciiTheme="minorEastAsia" w:hAnsiTheme="minorEastAsia" w:cstheme="minorEastAsia"/>
          <w:color w:val="auto"/>
          <w:sz w:val="24"/>
          <w:szCs w:val="24"/>
          <w:lang w:eastAsia="zh-CN"/>
        </w:rPr>
        <w:t>），到</w:t>
      </w:r>
      <w:r>
        <w:rPr>
          <w:rFonts w:hint="eastAsia" w:asciiTheme="minorEastAsia" w:hAnsiTheme="minorEastAsia" w:cstheme="minorEastAsia"/>
          <w:color w:val="auto"/>
          <w:sz w:val="24"/>
          <w:szCs w:val="24"/>
          <w:lang w:val="en-US" w:eastAsia="zh-CN"/>
        </w:rPr>
        <w:t>2027年9月9月到期</w:t>
      </w:r>
      <w:r>
        <w:rPr>
          <w:rFonts w:hint="eastAsia" w:asciiTheme="minorEastAsia" w:hAnsiTheme="minorEastAsia" w:eastAsiaTheme="minorEastAsia" w:cstheme="minorEastAsia"/>
          <w:color w:val="auto"/>
          <w:sz w:val="24"/>
          <w:szCs w:val="24"/>
        </w:rPr>
        <w:t>。合同签订后，中标人必须立即安排相关人员进场，在1个月内完成采购人组织的项目服务的交付验收，即服务交付方案、核心机房（含配套线路及设备）、通信线路</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服务、政务外网云资源、容灾备份资源及</w:t>
      </w:r>
      <w:r>
        <w:rPr>
          <w:rFonts w:hint="eastAsia" w:asciiTheme="minorEastAsia" w:hAnsiTheme="minorEastAsia" w:cstheme="minorEastAsia"/>
          <w:color w:val="auto"/>
          <w:sz w:val="24"/>
          <w:szCs w:val="24"/>
          <w:lang w:val="en-US" w:eastAsia="zh-CN"/>
        </w:rPr>
        <w:t>现场服务</w:t>
      </w:r>
      <w:r>
        <w:rPr>
          <w:rFonts w:hint="eastAsia" w:asciiTheme="minorEastAsia" w:hAnsiTheme="minorEastAsia" w:eastAsiaTheme="minorEastAsia" w:cstheme="minorEastAsia"/>
          <w:color w:val="auto"/>
          <w:sz w:val="24"/>
          <w:szCs w:val="24"/>
        </w:rPr>
        <w:t>人员通过采购人签收确认；在2个月内完成</w:t>
      </w:r>
      <w:r>
        <w:rPr>
          <w:rFonts w:hint="eastAsia" w:asciiTheme="minorEastAsia" w:hAnsiTheme="minorEastAsia" w:cstheme="minorEastAsia"/>
          <w:color w:val="auto"/>
          <w:sz w:val="24"/>
          <w:szCs w:val="24"/>
          <w:lang w:val="en-US" w:eastAsia="zh-CN"/>
        </w:rPr>
        <w:t>合同要求的</w:t>
      </w:r>
      <w:r>
        <w:rPr>
          <w:rFonts w:hint="eastAsia" w:asciiTheme="minorEastAsia" w:hAnsiTheme="minorEastAsia" w:eastAsiaTheme="minorEastAsia" w:cstheme="minorEastAsia"/>
          <w:color w:val="auto"/>
          <w:sz w:val="24"/>
          <w:szCs w:val="24"/>
        </w:rPr>
        <w:t>公安云资源迁移整合交付工作。逾期未完成交付的，每逾期1日按合同总金额的 0.5% 支付违约金；逾期超15日的，采购人有权</w:t>
      </w:r>
      <w:r>
        <w:rPr>
          <w:rFonts w:hint="eastAsia" w:asciiTheme="minorEastAsia" w:hAnsiTheme="minorEastAsia" w:cstheme="minorEastAsia"/>
          <w:color w:val="auto"/>
          <w:sz w:val="24"/>
          <w:szCs w:val="24"/>
          <w:lang w:val="en-US" w:eastAsia="zh-CN"/>
        </w:rPr>
        <w:t>解除</w:t>
      </w:r>
      <w:r>
        <w:rPr>
          <w:rFonts w:hint="eastAsia" w:asciiTheme="minorEastAsia" w:hAnsiTheme="minorEastAsia" w:eastAsiaTheme="minorEastAsia" w:cstheme="minorEastAsia"/>
          <w:color w:val="auto"/>
          <w:sz w:val="24"/>
          <w:szCs w:val="24"/>
        </w:rPr>
        <w:t>合同，由此产生的全部损失由中标人承担。投标人必须在上年度信息化维保服务项目的服务期结束前全面完成新旧维保服务项目的衔接工作，包括设备和系统迁移整合、数据备份及灾备、应用系统保障等服务内容，期间相关迁移衔接费用均由投标人承担。</w:t>
      </w:r>
    </w:p>
    <w:p w14:paraId="23D1871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中标人</w:t>
      </w:r>
      <w:r>
        <w:rPr>
          <w:rFonts w:hint="eastAsia" w:asciiTheme="minorEastAsia" w:hAnsiTheme="minorEastAsia" w:eastAsiaTheme="minorEastAsia" w:cstheme="minorEastAsia"/>
          <w:color w:val="auto"/>
          <w:sz w:val="24"/>
          <w:szCs w:val="24"/>
        </w:rPr>
        <w:t>迁移衔接过程中须确保采购人业务系统的正常运行，迁移整合期间须保障业务无缝衔接、7×24 小时正常运行；确需临时中断业务的，须提前制定完整应急预案，严格落实保障措施，做到“数据不丢、网络不断、系统不瘫”，全周期累计业务中断时长不得超过 60 分钟。若</w:t>
      </w:r>
      <w:r>
        <w:rPr>
          <w:rFonts w:hint="eastAsia" w:asciiTheme="minorEastAsia" w:hAnsiTheme="minorEastAsia" w:cstheme="minorEastAsia"/>
          <w:color w:val="auto"/>
          <w:sz w:val="24"/>
          <w:szCs w:val="24"/>
          <w:lang w:eastAsia="zh-CN"/>
        </w:rPr>
        <w:t>中标人</w:t>
      </w:r>
      <w:r>
        <w:rPr>
          <w:rFonts w:hint="eastAsia" w:asciiTheme="minorEastAsia" w:hAnsiTheme="minorEastAsia" w:eastAsiaTheme="minorEastAsia" w:cstheme="minorEastAsia"/>
          <w:color w:val="auto"/>
          <w:sz w:val="24"/>
          <w:szCs w:val="24"/>
        </w:rPr>
        <w:t>在规定时间内无法完成服务交付，或在实施过程中导致重大安全事件、业务中断时间超过规定时间的，采购人将追究</w:t>
      </w:r>
      <w:r>
        <w:rPr>
          <w:rFonts w:hint="eastAsia" w:asciiTheme="minorEastAsia" w:hAnsiTheme="minorEastAsia" w:cstheme="minorEastAsia"/>
          <w:color w:val="auto"/>
          <w:sz w:val="24"/>
          <w:szCs w:val="24"/>
          <w:lang w:eastAsia="zh-CN"/>
        </w:rPr>
        <w:t>中标人</w:t>
      </w:r>
      <w:r>
        <w:rPr>
          <w:rFonts w:hint="eastAsia" w:asciiTheme="minorEastAsia" w:hAnsiTheme="minorEastAsia" w:eastAsiaTheme="minorEastAsia" w:cstheme="minorEastAsia"/>
          <w:color w:val="auto"/>
          <w:sz w:val="24"/>
          <w:szCs w:val="24"/>
        </w:rPr>
        <w:t>违约责任，并有权</w:t>
      </w:r>
      <w:r>
        <w:rPr>
          <w:rFonts w:hint="eastAsia" w:asciiTheme="minorEastAsia" w:hAnsiTheme="minorEastAsia" w:cstheme="minorEastAsia"/>
          <w:color w:val="auto"/>
          <w:sz w:val="24"/>
          <w:szCs w:val="24"/>
          <w:lang w:val="en-US" w:eastAsia="zh-CN"/>
        </w:rPr>
        <w:t>解除</w:t>
      </w:r>
      <w:r>
        <w:rPr>
          <w:rFonts w:hint="eastAsia" w:asciiTheme="minorEastAsia" w:hAnsiTheme="minorEastAsia" w:eastAsiaTheme="minorEastAsia" w:cstheme="minorEastAsia"/>
          <w:color w:val="auto"/>
          <w:sz w:val="24"/>
          <w:szCs w:val="24"/>
        </w:rPr>
        <w:t>项目服务合同。因</w:t>
      </w:r>
      <w:r>
        <w:rPr>
          <w:rFonts w:hint="eastAsia" w:asciiTheme="minorEastAsia" w:hAnsiTheme="minorEastAsia" w:cstheme="minorEastAsia"/>
          <w:color w:val="auto"/>
          <w:sz w:val="24"/>
          <w:szCs w:val="24"/>
          <w:lang w:eastAsia="zh-CN"/>
        </w:rPr>
        <w:t>中标人</w:t>
      </w:r>
      <w:r>
        <w:rPr>
          <w:rFonts w:hint="eastAsia" w:asciiTheme="minorEastAsia" w:hAnsiTheme="minorEastAsia" w:eastAsiaTheme="minorEastAsia" w:cstheme="minorEastAsia"/>
          <w:color w:val="auto"/>
          <w:sz w:val="24"/>
          <w:szCs w:val="24"/>
        </w:rPr>
        <w:t>违约而</w:t>
      </w:r>
      <w:r>
        <w:rPr>
          <w:rFonts w:hint="eastAsia" w:asciiTheme="minorEastAsia" w:hAnsiTheme="minorEastAsia" w:cstheme="minorEastAsia"/>
          <w:color w:val="auto"/>
          <w:sz w:val="24"/>
          <w:szCs w:val="24"/>
          <w:lang w:val="en-US" w:eastAsia="zh-CN"/>
        </w:rPr>
        <w:t>解除</w:t>
      </w:r>
      <w:r>
        <w:rPr>
          <w:rFonts w:hint="eastAsia" w:asciiTheme="minorEastAsia" w:hAnsiTheme="minorEastAsia" w:eastAsiaTheme="minorEastAsia" w:cstheme="minorEastAsia"/>
          <w:color w:val="auto"/>
          <w:sz w:val="24"/>
          <w:szCs w:val="24"/>
        </w:rPr>
        <w:t>合同后，直到重新采购确定新的服务单位，并交付新的资源服务之前，仍由原有维保服务单位负责维护，原有服务超期所产生的一切费用由</w:t>
      </w:r>
      <w:r>
        <w:rPr>
          <w:rFonts w:hint="eastAsia" w:asciiTheme="minorEastAsia" w:hAnsiTheme="minorEastAsia" w:cstheme="minorEastAsia"/>
          <w:color w:val="auto"/>
          <w:sz w:val="24"/>
          <w:szCs w:val="24"/>
          <w:lang w:eastAsia="zh-CN"/>
        </w:rPr>
        <w:t>中标人</w:t>
      </w:r>
      <w:r>
        <w:rPr>
          <w:rFonts w:hint="eastAsia" w:asciiTheme="minorEastAsia" w:hAnsiTheme="minorEastAsia" w:eastAsiaTheme="minorEastAsia" w:cstheme="minorEastAsia"/>
          <w:color w:val="auto"/>
          <w:sz w:val="24"/>
          <w:szCs w:val="24"/>
        </w:rPr>
        <w:t>负责，并根据业务影响程度追究相关违约赔偿责任。</w:t>
      </w:r>
    </w:p>
    <w:p w14:paraId="7339AF0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中标人</w:t>
      </w:r>
      <w:r>
        <w:rPr>
          <w:rFonts w:hint="eastAsia" w:asciiTheme="minorEastAsia" w:hAnsiTheme="minorEastAsia" w:eastAsiaTheme="minorEastAsia" w:cstheme="minorEastAsia"/>
          <w:color w:val="auto"/>
          <w:sz w:val="24"/>
          <w:szCs w:val="24"/>
        </w:rPr>
        <w:t>须提供7×24小时</w:t>
      </w:r>
      <w:r>
        <w:rPr>
          <w:rFonts w:hint="eastAsia" w:asciiTheme="minorEastAsia" w:hAnsiTheme="minorEastAsia" w:cstheme="minorEastAsia"/>
          <w:color w:val="auto"/>
          <w:sz w:val="24"/>
          <w:szCs w:val="24"/>
          <w:lang w:eastAsia="zh-CN"/>
        </w:rPr>
        <w:t>技术</w:t>
      </w:r>
      <w:r>
        <w:rPr>
          <w:rFonts w:hint="eastAsia" w:asciiTheme="minorEastAsia" w:hAnsiTheme="minorEastAsia" w:eastAsiaTheme="minorEastAsia" w:cstheme="minorEastAsia"/>
          <w:color w:val="auto"/>
          <w:sz w:val="24"/>
          <w:szCs w:val="24"/>
        </w:rPr>
        <w:t>支持</w:t>
      </w:r>
      <w:r>
        <w:rPr>
          <w:rFonts w:hint="eastAsia" w:asciiTheme="minorEastAsia" w:hAnsiTheme="minorEastAsia" w:cstheme="minorEastAsia"/>
          <w:color w:val="auto"/>
          <w:sz w:val="24"/>
          <w:szCs w:val="24"/>
          <w:lang w:eastAsia="zh-CN"/>
        </w:rPr>
        <w:t>服务，并</w:t>
      </w:r>
      <w:r>
        <w:rPr>
          <w:rFonts w:hint="eastAsia" w:asciiTheme="minorEastAsia" w:hAnsiTheme="minorEastAsia" w:eastAsiaTheme="minorEastAsia" w:cstheme="minorEastAsia"/>
          <w:color w:val="auto"/>
          <w:sz w:val="24"/>
          <w:szCs w:val="24"/>
        </w:rPr>
        <w:t>按业务级别提供</w:t>
      </w:r>
      <w:r>
        <w:rPr>
          <w:rFonts w:hint="eastAsia" w:asciiTheme="minorEastAsia" w:hAnsiTheme="minorEastAsia" w:cstheme="minorEastAsia"/>
          <w:color w:val="auto"/>
          <w:sz w:val="24"/>
          <w:szCs w:val="24"/>
          <w:lang w:eastAsia="zh-CN"/>
        </w:rPr>
        <w:t>故障</w:t>
      </w:r>
      <w:r>
        <w:rPr>
          <w:rFonts w:hint="eastAsia" w:asciiTheme="minorEastAsia" w:hAnsiTheme="minorEastAsia" w:eastAsiaTheme="minorEastAsia" w:cstheme="minorEastAsia"/>
          <w:color w:val="auto"/>
          <w:sz w:val="24"/>
          <w:szCs w:val="24"/>
        </w:rPr>
        <w:t>分级应急处置服务：工作时间15分钟内到场，非工作15分钟内响应、30分钟内到场；核心系统业务恢复≤4小时、故障清除≤1个日历日，故障报告于清除后2日内提交；其他系统分别为≤12小时、≤7个日历日、清除后3日内提交。</w:t>
      </w:r>
      <w:r>
        <w:rPr>
          <w:rFonts w:hint="eastAsia" w:asciiTheme="minorEastAsia" w:hAnsiTheme="minorEastAsia" w:cstheme="minorEastAsia"/>
          <w:color w:val="auto"/>
          <w:sz w:val="24"/>
          <w:szCs w:val="24"/>
          <w:lang w:eastAsia="zh-CN"/>
        </w:rPr>
        <w:t>若故障在处置时限内无法清除，采购人有权邀请</w:t>
      </w:r>
      <w:r>
        <w:rPr>
          <w:rFonts w:hint="eastAsia" w:asciiTheme="minorEastAsia" w:hAnsiTheme="minorEastAsia" w:eastAsiaTheme="minorEastAsia" w:cstheme="minorEastAsia"/>
          <w:color w:val="auto"/>
          <w:sz w:val="24"/>
          <w:szCs w:val="24"/>
        </w:rPr>
        <w:t>第三方</w:t>
      </w:r>
      <w:r>
        <w:rPr>
          <w:rFonts w:hint="eastAsia" w:asciiTheme="minorEastAsia" w:hAnsiTheme="minorEastAsia" w:cstheme="minorEastAsia"/>
          <w:color w:val="auto"/>
          <w:sz w:val="24"/>
          <w:szCs w:val="24"/>
          <w:lang w:eastAsia="zh-CN"/>
        </w:rPr>
        <w:t>个人或机构进行故障恢复</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eastAsia="zh-CN"/>
        </w:rPr>
        <w:t>产生的</w:t>
      </w:r>
      <w:r>
        <w:rPr>
          <w:rFonts w:hint="eastAsia" w:asciiTheme="minorEastAsia" w:hAnsiTheme="minorEastAsia" w:eastAsiaTheme="minorEastAsia" w:cstheme="minorEastAsia"/>
          <w:color w:val="auto"/>
          <w:sz w:val="24"/>
          <w:szCs w:val="24"/>
        </w:rPr>
        <w:t>费用由</w:t>
      </w:r>
      <w:r>
        <w:rPr>
          <w:rFonts w:hint="eastAsia" w:asciiTheme="minorEastAsia" w:hAnsiTheme="minorEastAsia" w:cstheme="minorEastAsia"/>
          <w:color w:val="auto"/>
          <w:sz w:val="24"/>
          <w:szCs w:val="24"/>
          <w:lang w:eastAsia="zh-CN"/>
        </w:rPr>
        <w:t>中标人</w:t>
      </w:r>
      <w:r>
        <w:rPr>
          <w:rFonts w:hint="eastAsia" w:asciiTheme="minorEastAsia" w:hAnsiTheme="minorEastAsia" w:eastAsiaTheme="minorEastAsia" w:cstheme="minorEastAsia"/>
          <w:color w:val="auto"/>
          <w:sz w:val="24"/>
          <w:szCs w:val="24"/>
        </w:rPr>
        <w:t>承担。</w:t>
      </w:r>
    </w:p>
    <w:p w14:paraId="7672832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期内，采购人因业务发展、场地规划或信息化建设需要，有权要求中标人配合完成现场技术服务团队办公及值班场所调整（含位置变更、区域合并或拆分、值班室迁移等），以及现有利旧大屏设备（含LED显示屏、拼接屏等）的迁移安装工作。中标人须无条件配合，在采购人要求的合理时限内完成搬迁、安装、调试及环境恢复，确保运维服务不中断，实施方案须经采购人审核同意后方可组织实施。上述工作产生的全部费用由中标人自行承担，已包含在投标总价中，采购人不另行支付。</w:t>
      </w:r>
    </w:p>
    <w:p w14:paraId="2718BDFC">
      <w:pPr>
        <w:pStyle w:val="10"/>
        <w:spacing w:before="105" w:after="105"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服务期满后，若中标人未续签下一期运维项目，须将所有存储过采购人数据的硬盘、存储介质无偿移交采购人</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拆除存储介质后的整机设备归属中标人。</w:t>
      </w:r>
    </w:p>
    <w:p w14:paraId="7FA3C2A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本项目为交钥匙工程，</w:t>
      </w:r>
      <w:r>
        <w:rPr>
          <w:rFonts w:hint="eastAsia" w:asciiTheme="minorEastAsia" w:hAnsiTheme="minorEastAsia" w:cstheme="minorEastAsia"/>
          <w:color w:val="auto"/>
          <w:sz w:val="24"/>
          <w:szCs w:val="24"/>
          <w:lang w:eastAsia="zh-CN"/>
        </w:rPr>
        <w:t>中标人</w:t>
      </w:r>
      <w:r>
        <w:rPr>
          <w:rFonts w:hint="eastAsia" w:asciiTheme="minorEastAsia" w:hAnsiTheme="minorEastAsia" w:eastAsiaTheme="minorEastAsia" w:cstheme="minorEastAsia"/>
          <w:color w:val="auto"/>
          <w:sz w:val="24"/>
          <w:szCs w:val="24"/>
        </w:rPr>
        <w:t>提供的云资源须采用符合政府采购需求标准、且安全可靠测评等级不低于Ⅰ级的产品</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中标后须提供服务配套所需的设备和软件，相应内容</w:t>
      </w:r>
      <w:r>
        <w:rPr>
          <w:rFonts w:hint="eastAsia" w:asciiTheme="minorEastAsia" w:hAnsiTheme="minorEastAsia" w:cstheme="minorEastAsia"/>
          <w:color w:val="auto"/>
          <w:sz w:val="24"/>
          <w:szCs w:val="24"/>
          <w:lang w:val="en-US" w:eastAsia="zh-CN"/>
        </w:rPr>
        <w:t>和</w:t>
      </w:r>
      <w:r>
        <w:rPr>
          <w:rFonts w:hint="eastAsia" w:asciiTheme="minorEastAsia" w:hAnsiTheme="minorEastAsia" w:eastAsiaTheme="minorEastAsia" w:cstheme="minorEastAsia"/>
          <w:color w:val="auto"/>
          <w:sz w:val="24"/>
          <w:szCs w:val="24"/>
        </w:rPr>
        <w:t>要求全部包含在投标文件的报价清单内。</w:t>
      </w:r>
    </w:p>
    <w:p w14:paraId="5CF67DEC">
      <w:pPr>
        <w:pStyle w:val="10"/>
        <w:numPr>
          <w:ilvl w:val="0"/>
          <w:numId w:val="1"/>
        </w:numPr>
        <w:spacing w:line="360" w:lineRule="auto"/>
        <w:ind w:firstLine="482" w:firstLineChars="200"/>
        <w:jc w:val="left"/>
        <w:outlineLvl w:val="3"/>
        <w:rPr>
          <w:rFonts w:hint="eastAsia" w:asciiTheme="minorEastAsia" w:hAnsi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rPr>
        <w:t>硬件维护服务部分（数据中心基础设施）</w:t>
      </w:r>
    </w:p>
    <w:p w14:paraId="722E117E">
      <w:pPr>
        <w:pStyle w:val="10"/>
        <w:numPr>
          <w:ilvl w:val="0"/>
          <w:numId w:val="0"/>
        </w:numPr>
        <w:spacing w:line="360" w:lineRule="auto"/>
        <w:jc w:val="left"/>
        <w:rPr>
          <w:rFonts w:hint="eastAsia" w:asciiTheme="minorEastAsia" w:hAnsiTheme="minorEastAsia" w:cstheme="minorEastAsia"/>
          <w:b/>
          <w:color w:val="auto"/>
          <w:sz w:val="24"/>
          <w:szCs w:val="24"/>
          <w:lang w:val="en-US" w:eastAsia="zh-CN"/>
        </w:rPr>
      </w:pPr>
      <w:r>
        <w:rPr>
          <w:rFonts w:hint="eastAsia" w:asciiTheme="minorEastAsia" w:hAnsiTheme="minorEastAsia" w:cstheme="minorEastAsia"/>
          <w:b/>
          <w:color w:val="auto"/>
          <w:sz w:val="24"/>
          <w:szCs w:val="24"/>
          <w:lang w:val="en-US" w:eastAsia="zh-CN"/>
        </w:rPr>
        <w:t xml:space="preserve">    1.总体要求</w:t>
      </w:r>
    </w:p>
    <w:p w14:paraId="3621A07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投标人须根据项目交付需要派驻现场技术服务团队，负责每日现场保障数据中心已过保基础设施的正常运行，涵盖服务器、存储设备、网络和外线维护等，每个岗位都要有主备，工作时间服务团队至少有3名技术工程师在采购人运维场所现场值守。现场技术服务管理负责人要求具有10年以上的机房环境和数据中心设备维护服务管理经验，各维护岗位技术负责人要求具有5年以上相应工作的维护经验，其他现场技术维护人员要求具有1年以上相应工作或实习的维护经验，并须在派驻后1个月内通过采购人的实操、运维培训及考核。</w:t>
      </w:r>
    </w:p>
    <w:p w14:paraId="7BDDF6B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投标人现场技术服务团队实行7×12小时现场值班和7×24小时响应制度。现场技术服务团队参照采购人日常管理，服从采购人工作安排，遵守采购人信息化合作人员相关安全管理制度，签订《保密承诺书》。现场技术服务团队如发生成员变动等情况，人员调整书面申请必须得到采购人的确认，确保现场技术服务团队整体水平、经验不下降。</w:t>
      </w:r>
    </w:p>
    <w:p w14:paraId="328322A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投标人现场技术服务团队应在公安运维运营平台上对机房环境和数据中心各类设备进行在线监控，完善资产信息，优化告警策略，确保故障告警准确定位。每日开展一次健康巡检，在公安运维运营平台上上传巡检记录和截图，生成《日服务报告》，并由采购人相关管理员签收确认。</w:t>
      </w:r>
    </w:p>
    <w:p w14:paraId="0C5A50F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4）本项目维保范围内的设备若发生故障，投标人应及时响应故障，并在规定时间内解决故障、恢复业务，具体故障级别及处理时限以公安运维运营平台上工单系统的要求为准，故障恢复后出具《故障处理报告》，报告内容应包括故障描述、故障处理过程、故障原因分析、故障解决建议。</w:t>
      </w:r>
    </w:p>
    <w:p w14:paraId="7D296DD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5）投标人须根据采购人要求，每半年针对数据中心硬件设施各个方面的一个故障点进行一次应急演练。投标人提供的应急演练方案须包括系统现状描述、应急操作人员安排、应急环境准备、应急操作步骤及时间计划、演练回退措施、风险规避措施等。应急演练方案须经过内部专家团队评审后，提交采购人进行审核，须保证提供的应急演练方案的技术上的安全性，并对应急演练所产生的后果承担全部责任。</w:t>
      </w:r>
    </w:p>
    <w:p w14:paraId="5BFC4EF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6）投标人须根据项目服务情况，每周在采购人现场开周例会，会议内容包括但不限于上周服务情况分析、本周服务工作计划等方面；每月在采购人现场开月例会，会议内容包括但不限于上月项目服务情况汇总分析、采购人指定软硬件系统深度巡检和性能优化情况、经常性故障或有运维隐患软硬件系统的优化建议等，提交《月服务总结报告》。</w:t>
      </w:r>
    </w:p>
    <w:p w14:paraId="183DC77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7）投标人须负责对采购人所有机房及楼层网络间内的机柜、设备间中的强电、弱电线路进行规范管理，确保线缆走向符合规范、捆扎整齐、标识清晰。同时，须全面梳理现有机房线路情况，对存在杂乱、交叉、下垂、无标识等不符合要求的线缆进行整改。</w:t>
      </w:r>
    </w:p>
    <w:p w14:paraId="757B3A07">
      <w:pPr>
        <w:pStyle w:val="10"/>
        <w:numPr>
          <w:ilvl w:val="0"/>
          <w:numId w:val="0"/>
        </w:numPr>
        <w:spacing w:line="360" w:lineRule="auto"/>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cstheme="minorEastAsia"/>
          <w:b/>
          <w:color w:val="auto"/>
          <w:sz w:val="24"/>
          <w:szCs w:val="24"/>
          <w:lang w:val="en-US" w:eastAsia="zh-CN"/>
        </w:rPr>
        <w:t>2.</w:t>
      </w:r>
      <w:r>
        <w:rPr>
          <w:rFonts w:hint="eastAsia" w:asciiTheme="minorEastAsia" w:hAnsiTheme="minorEastAsia" w:eastAsiaTheme="minorEastAsia" w:cstheme="minorEastAsia"/>
          <w:b/>
          <w:color w:val="auto"/>
          <w:sz w:val="24"/>
          <w:szCs w:val="24"/>
        </w:rPr>
        <w:t>基础设施硬件质保要求</w:t>
      </w:r>
    </w:p>
    <w:p w14:paraId="723FE8D4">
      <w:pPr>
        <w:pStyle w:val="10"/>
        <w:spacing w:line="360" w:lineRule="auto"/>
        <w:ind w:firstLine="415"/>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1）投标人须为数据中心的196台网络设备、6台小型机、674台通用服务器、13台/套存储、44台/套安全设备、26台精密空调、</w:t>
      </w:r>
      <w:r>
        <w:rPr>
          <w:rFonts w:hint="eastAsia" w:asciiTheme="minorEastAsia" w:hAnsiTheme="minorEastAsia" w:cstheme="minorEastAsia"/>
          <w:color w:val="auto"/>
          <w:sz w:val="24"/>
          <w:szCs w:val="24"/>
          <w:lang w:val="en-US" w:eastAsia="zh-CN"/>
        </w:rPr>
        <w:t>2套蓄</w:t>
      </w:r>
      <w:r>
        <w:rPr>
          <w:rFonts w:hint="eastAsia" w:asciiTheme="minorEastAsia" w:hAnsiTheme="minorEastAsia" w:eastAsiaTheme="minorEastAsia" w:cstheme="minorEastAsia"/>
          <w:color w:val="auto"/>
          <w:sz w:val="24"/>
          <w:szCs w:val="24"/>
        </w:rPr>
        <w:t>电池、机房安防配套设施等硬件，提供硬件质保服务（上述硬件采购总额为1.46亿元）。项目服务期内，若设备用途发生变更，投标人须根据采购人要求及时调整硬件质保范围，确保能够及时修复数据中心设备故障。</w:t>
      </w:r>
    </w:p>
    <w:p w14:paraId="31AB7E35">
      <w:pPr>
        <w:pStyle w:val="10"/>
        <w:spacing w:line="360" w:lineRule="auto"/>
        <w:ind w:firstLine="415"/>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投标人应在采购人机房提供备品备件，并按采购人要求开展现网设备备品备件替换工作，使用后的备品备件所有权归采购人所有。投标人应保持备品备件清单中指定的备件数量恒定。当消耗备件后，投标人应在5个工作日内完成补充，补充费用已包含在投标总价中。网络设备备品备件具体清单如下：4台千兆电口交换机（万兆光口上行、冗余电源）、2台万兆多模光口交换机（冗余电源并配备光模块）、6类网线、各类规格光纤线材、2个华为接入交换机电源模块及其余外线所需耗材；服务器设备备品备件具体清单如下：4根32GB DDR4内存、4根64GB DDR4内存、4块4TB机械硬盘、2块6TB机械硬盘、4块8TB机械硬盘、4块16TB机械硬盘、4块480GB SSD硬盘、4块3.84TB SSD硬盘、2块7.68TB NVME SSD硬盘、2块双口万兆网卡、2块双口25G网卡、4块RAID卡；存储设备备品备件具体清单如下：在用存储不同规格的存储硬盘各1块、1块双口100G网卡。</w:t>
      </w:r>
    </w:p>
    <w:p w14:paraId="1E745A49">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3.</w:t>
      </w:r>
      <w:r>
        <w:rPr>
          <w:rFonts w:hint="eastAsia" w:asciiTheme="minorEastAsia" w:hAnsiTheme="minorEastAsia" w:eastAsiaTheme="minorEastAsia" w:cstheme="minorEastAsia"/>
          <w:b/>
          <w:color w:val="auto"/>
          <w:sz w:val="24"/>
          <w:szCs w:val="24"/>
        </w:rPr>
        <w:t>机房环境设备维保服务要求</w:t>
      </w:r>
    </w:p>
    <w:p w14:paraId="66CA980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1)每年对供电系统维护保养2次；对空调维修保养2次，含清洗、更换过滤网；每年测地阻1次；每年对机房防尘处理1次；确保机房环境告警通过声光电及短信方式告警，配套相关告警设备。</w:t>
      </w:r>
    </w:p>
    <w:p w14:paraId="6C946D8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2)配备1台温湿度器及灭火器，灭火器容量要与机房相当。</w:t>
      </w:r>
    </w:p>
    <w:p w14:paraId="32CE843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3)投标人须每月检查UPS电池组容量，当UPS电池组容量下降到50%以下或超出设备使用生命周期时，须更换UPS电池组。</w:t>
      </w:r>
    </w:p>
    <w:p w14:paraId="0FBF3B00">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4.</w:t>
      </w:r>
      <w:r>
        <w:rPr>
          <w:rFonts w:hint="eastAsia" w:asciiTheme="minorEastAsia" w:hAnsiTheme="minorEastAsia" w:eastAsiaTheme="minorEastAsia" w:cstheme="minorEastAsia"/>
          <w:b/>
          <w:color w:val="auto"/>
          <w:sz w:val="24"/>
          <w:szCs w:val="24"/>
        </w:rPr>
        <w:t>网络设备维护服务要求</w:t>
      </w:r>
    </w:p>
    <w:p w14:paraId="1245C6D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1)对公安各个网络进行常态化运维，负责网络设备的日常监测，保障各个网络正常稳定运行。</w:t>
      </w:r>
    </w:p>
    <w:p w14:paraId="55DEF04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2)每周对网络设备配置文件进行备份，集中保存设备告警日志，备份文件及告警日志须保存1年以上。</w:t>
      </w:r>
    </w:p>
    <w:p w14:paraId="6D5B5CE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3)规划和设计网络架构。对各个网络进行分级，根据不同的网络业务应用场景，规划和设计不同的网络策略，同时对公安信息网上承载的虚拟VPN专网进行运维，保证虚拟网络的正常运行。</w:t>
      </w:r>
    </w:p>
    <w:p w14:paraId="1019F98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4)深入分析网络流量。优化公安各个网络中的网络流量；镜像指定流量到不同的安全设备和流量分析系统；使用网络流量分析系统分析网络中的特定流量，及时发现网络异常流量，排查网络故障。</w:t>
      </w:r>
    </w:p>
    <w:p w14:paraId="1E1F7BA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5)每月对厅机关内各楼层网络间进行人工巡检，检查各网络间基础环境情况，如强、弱电接入，温度控制，卫生保洁等。</w:t>
      </w:r>
    </w:p>
    <w:p w14:paraId="3DDB90B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6)维护和保障各类线路。对厅机关各类专线线路接入及机关大院楼层间配线跳线进行运维保障。</w:t>
      </w:r>
    </w:p>
    <w:p w14:paraId="25BC63C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7)维护和配置负载均衡系统，确保应用负载均衡服务正常稳定运行。</w:t>
      </w:r>
    </w:p>
    <w:p w14:paraId="1B99915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8)维护和配置DNS域名系统，确保各网络DNS域名解析服务正常稳定运行。</w:t>
      </w:r>
    </w:p>
    <w:p w14:paraId="7B505F34">
      <w:pPr>
        <w:pStyle w:val="10"/>
        <w:numPr>
          <w:ilvl w:val="0"/>
          <w:numId w:val="0"/>
        </w:numPr>
        <w:spacing w:line="360" w:lineRule="auto"/>
        <w:ind w:firstLine="482"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5.</w:t>
      </w:r>
      <w:r>
        <w:rPr>
          <w:rFonts w:hint="eastAsia" w:asciiTheme="minorEastAsia" w:hAnsiTheme="minorEastAsia" w:eastAsiaTheme="minorEastAsia" w:cstheme="minorEastAsia"/>
          <w:b/>
          <w:color w:val="auto"/>
          <w:sz w:val="24"/>
          <w:szCs w:val="24"/>
        </w:rPr>
        <w:t>服务器设备维护服务要求</w:t>
      </w:r>
    </w:p>
    <w:p w14:paraId="11D1CC9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投标人现场技术服务团队应根据采购人日常需求进行服务器上架、下架、网络布线、设备调试、系统部署等，并配合采购人合理规划分配服务器硬件及机房机柜空间，并给出优化建议。</w:t>
      </w:r>
    </w:p>
    <w:p w14:paraId="2A2087CF">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6.</w:t>
      </w:r>
      <w:r>
        <w:rPr>
          <w:rFonts w:hint="eastAsia" w:asciiTheme="minorEastAsia" w:hAnsiTheme="minorEastAsia" w:eastAsiaTheme="minorEastAsia" w:cstheme="minorEastAsia"/>
          <w:b/>
          <w:color w:val="auto"/>
          <w:sz w:val="24"/>
          <w:szCs w:val="24"/>
        </w:rPr>
        <w:t>存储设备维护服务要求</w:t>
      </w:r>
    </w:p>
    <w:p w14:paraId="7F4B19F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按采购人要求创建、更改、回收存储全生命周期相关资源；根据存储服务对象，将磁盘阵列块存储、NAS存储、云外分布式存储，对应分配至数据库业务、文件图片业务、分布式存储图片业务；配置和优化存储多路径策略，形成存储链路的冗余性和可用性；及时跟踪、整理和统计存储设备的台账及使用情况。</w:t>
      </w:r>
    </w:p>
    <w:p w14:paraId="2D5A53C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2)处理存储系统bug和升级设备软件版本，对因存储性能瓶颈导致系统响应时间延长等故障进行分析原因、制定解决方案。</w:t>
      </w:r>
    </w:p>
    <w:p w14:paraId="338E5CB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3)根据采购人要求进行存储设备之间的数据迁移，保证数据的一致性、完整性和业务连续性。</w:t>
      </w:r>
    </w:p>
    <w:p w14:paraId="290E2946">
      <w:pPr>
        <w:pStyle w:val="10"/>
        <w:numPr>
          <w:ilvl w:val="0"/>
          <w:numId w:val="0"/>
        </w:numPr>
        <w:spacing w:line="360" w:lineRule="auto"/>
        <w:ind w:firstLine="482" w:firstLineChars="200"/>
        <w:jc w:val="both"/>
        <w:outlineLvl w:val="3"/>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eastAsia="zh-CN"/>
        </w:rPr>
        <w:t>（三）</w:t>
      </w:r>
      <w:r>
        <w:rPr>
          <w:rFonts w:hint="eastAsia" w:asciiTheme="minorEastAsia" w:hAnsiTheme="minorEastAsia" w:eastAsiaTheme="minorEastAsia" w:cstheme="minorEastAsia"/>
          <w:b/>
          <w:color w:val="auto"/>
          <w:sz w:val="24"/>
          <w:szCs w:val="24"/>
        </w:rPr>
        <w:t>硬件维护服务部分（音视频设备和通信基础设施）</w:t>
      </w:r>
    </w:p>
    <w:p w14:paraId="63DB1B3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信系统包含电视电话会议系统、应急通信系统、无线支撑平台、PDT鉴权加密系统等；通信车辆包含高清“动中通”卫星通信车、高清无线图传车、简易型应急通信车等；通信设备包含音视频通信设备（多点控制单元（MCU）、会控服务器、视频会议终端、高清摄像机、录播服务器、电视墙服务器、视音频矩阵、投影机、小间距LED屏、拼控器、网络交换机等主要设备及相关附属设备。）、卫星电话、北斗短报文终端、PDT电台等；以上通信系统、车辆、设备所在的通信机房以及配套基础设施包含但不限于：会议室（厅指挥大楼第一会议室、第二会议室、第九会议室、厅党委会议室、会议中心、应急指挥部及行政大楼6楼会议室等）、图控中心（指挥大厅图控中心、三楼图控中心）、机房（无线通信机房、运营商机房、6号有线通信机房、7号有线通信机房），以及上述场所配套的通信基础设施（如UPS电源、电力、空调、温湿度监控、机柜、视频监控、门禁等）。</w:t>
      </w:r>
    </w:p>
    <w:p w14:paraId="44FFE882">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1.</w:t>
      </w:r>
      <w:r>
        <w:rPr>
          <w:rFonts w:hint="eastAsia" w:asciiTheme="minorEastAsia" w:hAnsiTheme="minorEastAsia" w:eastAsiaTheme="minorEastAsia" w:cstheme="minorEastAsia"/>
          <w:b/>
          <w:color w:val="auto"/>
          <w:sz w:val="24"/>
          <w:szCs w:val="24"/>
        </w:rPr>
        <w:t>总体要求</w:t>
      </w:r>
    </w:p>
    <w:p w14:paraId="71FFD3B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保障系统设备正常</w:t>
      </w:r>
    </w:p>
    <w:p w14:paraId="5DD9153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投标人中标后须对过保音视频和通信系统、车辆、设备进行质保，设备故障须在8小时内修复，如无法修复，在12小时内提供备品备件，返厂维修时间不得超过30天。</w:t>
      </w:r>
    </w:p>
    <w:p w14:paraId="4DC42A9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保障会议效果</w:t>
      </w:r>
    </w:p>
    <w:p w14:paraId="67B8546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保障会议正常进行，不因操作不当而中断，音视频效果稳定流畅，无卡顿，无误操作。</w:t>
      </w:r>
    </w:p>
    <w:p w14:paraId="7AB0F38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保障通信畅通</w:t>
      </w:r>
    </w:p>
    <w:p w14:paraId="656214F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在通信保障期间，通信系统、车辆、设备以及基础设施需运行正常，确保“拉得出，连得上，看得清”。</w:t>
      </w:r>
    </w:p>
    <w:p w14:paraId="16AE079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4</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保障通信基础设施正常运转</w:t>
      </w:r>
    </w:p>
    <w:p w14:paraId="5502F64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要求纳入厅机关运维平台统一监控，全面保障通信基础环境稳定。</w:t>
      </w:r>
    </w:p>
    <w:p w14:paraId="266F0F0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5</w:t>
      </w:r>
      <w:r>
        <w:rPr>
          <w:rFonts w:hint="eastAsia" w:asciiTheme="minorEastAsia" w:hAnsiTheme="minorEastAsia" w:cstheme="minorEastAsia"/>
          <w:color w:val="auto"/>
          <w:sz w:val="24"/>
          <w:szCs w:val="24"/>
          <w:lang w:eastAsia="zh-CN"/>
        </w:rPr>
        <w:t>）现场技术服务</w:t>
      </w:r>
      <w:r>
        <w:rPr>
          <w:rFonts w:hint="eastAsia" w:asciiTheme="minorEastAsia" w:hAnsiTheme="minorEastAsia" w:eastAsiaTheme="minorEastAsia" w:cstheme="minorEastAsia"/>
          <w:color w:val="auto"/>
          <w:sz w:val="24"/>
          <w:szCs w:val="24"/>
        </w:rPr>
        <w:t>人员要求</w:t>
      </w:r>
    </w:p>
    <w:p w14:paraId="5BDC821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通信系统、车辆、设备运维支撑至少需要13名维护人员驻点维护，开展7*24小时驻点巡检和保障。主要有图控中心、电视电话会议室、应急通信机房等负责电视电话会议系统控制、会场控制、应急通信保障等。</w:t>
      </w:r>
    </w:p>
    <w:p w14:paraId="53BE36B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6</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其他要求</w:t>
      </w:r>
    </w:p>
    <w:p w14:paraId="786AD98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每年按照采购人要求，配合开展视频、通信保障等实战化演练。</w:t>
      </w:r>
    </w:p>
    <w:p w14:paraId="06E5DE47">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2.</w:t>
      </w:r>
      <w:r>
        <w:rPr>
          <w:rFonts w:hint="eastAsia" w:asciiTheme="minorEastAsia" w:hAnsiTheme="minorEastAsia" w:eastAsiaTheme="minorEastAsia" w:cstheme="minorEastAsia"/>
          <w:b/>
          <w:color w:val="auto"/>
          <w:sz w:val="24"/>
          <w:szCs w:val="24"/>
        </w:rPr>
        <w:t>人员服务要求</w:t>
      </w:r>
    </w:p>
    <w:p w14:paraId="1478260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音视频设备和通信设备，至少派出13名驻点维护人员，其中1名为驻点维护负责人、10名负责音视频设备保障工作、2名负责应急通信保障工作。在维护合同期内，驻点维护人员，应遵守厅机关考勤、安全保密等相关管理制度，统一着装，协助配合采购人共同完成各项通信保障工作，相关费用由投标人自行承担。</w:t>
      </w:r>
    </w:p>
    <w:p w14:paraId="0C2A92B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于驻点维护负责人要求具有丰富的通信系统维护管理经验，应具有工程师及以上职级或证书，具备1年以上的特种专业技术用车维护经验；驻点维护人员要求具2年以上的视音频系统、应急通信系统、车辆、设备运行维护、故障处理等经验，并且在派驻后1个月内通过采购人的实操、运维培训及考核，方可正式上岗。</w:t>
      </w:r>
    </w:p>
    <w:p w14:paraId="3722D40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述驻点维护人员通过考核正式参与驻点运维后，除被考核判定不合格需更换外，服务商不得随意对派驻人员进行更换。非正常上班时，遇有紧急情况，服务商派驻的维护人员接通知后应在30分钟内到达指定工作地点；遇有应急处置情况，服务商应保证提供7×24小时服务。服务商应在2个月内与现有运维团队完成交接，达到采购人提出的驻点维护需求，保障运维服务不间断。服务商应充分考虑运维团队交接期间可能产生的相关费用，并包含在投标总价中，如因服务商沟通不充分导致费用不足的，相关费用由服务商自行承担。</w:t>
      </w:r>
    </w:p>
    <w:p w14:paraId="10B30B8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服务商派驻的维护人员在服务期间，接受甲方的管理与绩效考核。保障人员必须严格按照甲方的相关标准化保障要求开展工作，因人为因素导致通信保障出错或中断的，保障团队及相关服务人员当月绩效考核不合格，人员需按要求重新进行岗位培训，经重新考核合格，方可再次上岗，如经重新培训仍无法胜任岗位的，甲方有权要求乙方更换保障人员，相关费用由服务商自行承担。</w:t>
      </w:r>
    </w:p>
    <w:p w14:paraId="04028093">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3.</w:t>
      </w:r>
      <w:r>
        <w:rPr>
          <w:rFonts w:hint="eastAsia" w:asciiTheme="minorEastAsia" w:hAnsiTheme="minorEastAsia" w:eastAsiaTheme="minorEastAsia" w:cstheme="minorEastAsia"/>
          <w:b/>
          <w:color w:val="auto"/>
          <w:sz w:val="24"/>
          <w:szCs w:val="24"/>
        </w:rPr>
        <w:t>应急演练要求</w:t>
      </w:r>
    </w:p>
    <w:p w14:paraId="65CD07A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整体应急方案制定：投标人中标后必须在合同签订后1个月内根据采购人的实际情况制定一份完整可行的应急演练方案。</w:t>
      </w:r>
    </w:p>
    <w:p w14:paraId="6491562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应急方案演练周期：投标人中标后必须根据采购人要求，每半年进行一次应急方案演练。</w:t>
      </w:r>
    </w:p>
    <w:p w14:paraId="4A5828E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应急方案演练系统：采购人可根据业务系统的重要等级，任意选取1-2个典型业务系统，投标人中标后根据采购人所选取的业务系统进行应急方案演练。</w:t>
      </w:r>
    </w:p>
    <w:p w14:paraId="68D6B30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4</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应急演练环境准备：投标人中标后应根据采购人要求，进行应急演练的环境部署，由投标人中标后提供相应的软件基础架构资源。</w:t>
      </w:r>
    </w:p>
    <w:p w14:paraId="4B28AD5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5</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应急方案编写要求：投标人中标后制定的应急演练方案，须基于对所演练系统的详细调研记录，所有操作需在同等环境中进行过验证。投标人中标后提供的应急演练方案须经采购人审核，投标人中标后须保证提供的应急演练方案的技术上的安全性，并对应急演练所产生的后果承担全部责任。应急演练方案须包括系统现状描述、应急操作人员安排、应急环境准备、应急操作步骤及时间计划、演练回退措施、风险规避措施等。</w:t>
      </w:r>
    </w:p>
    <w:p w14:paraId="420BDE2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6</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通信保障应急演练要求：投标人中标后须切实根据应急演练方案步骤进行应急演练，如出现较大偏差，须重新制定应急方案，并再次进行应急演练，直至应急演练取得预期效果。除应急演练外，每年按照采购人要求，配合开展通信保障等实战化演练。</w:t>
      </w:r>
    </w:p>
    <w:p w14:paraId="0B3A33D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7</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应急方案的变更：如采购人系统发生重大变更，投标人中标后应根据系统变更情况重新制定应急演练方案，并进行技术可行论证。</w:t>
      </w:r>
    </w:p>
    <w:p w14:paraId="1608E89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8</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通信实战演练要求：按照采购人要求，每年配合开展至少1次全省通信实战化演练，如组建应急保障队（至少2-3人）到全省开展实地渗透或采购人要求的其他方式，相关费用由投标人自行承担。</w:t>
      </w:r>
    </w:p>
    <w:p w14:paraId="111F5B67">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4.</w:t>
      </w:r>
      <w:r>
        <w:rPr>
          <w:rFonts w:hint="eastAsia" w:asciiTheme="minorEastAsia" w:hAnsiTheme="minorEastAsia" w:eastAsiaTheme="minorEastAsia" w:cstheme="minorEastAsia"/>
          <w:b/>
          <w:color w:val="auto"/>
          <w:sz w:val="24"/>
          <w:szCs w:val="24"/>
        </w:rPr>
        <w:t>巡检维护及保养服务要求</w:t>
      </w:r>
    </w:p>
    <w:p w14:paraId="4002A074">
      <w:pPr>
        <w:pStyle w:val="10"/>
        <w:spacing w:line="360" w:lineRule="auto"/>
        <w:ind w:firstLine="4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本项目维保范围内的通信系统、车辆、设备、机房以及配套基础设施进行定期巡检、维护及保养，在巡检中发现问题应立刻解决，若无法立即解决的应提出解决方案并实施，并在巡检2个工作日后提交巡检报告（内容应包括维保清单中设备的外观情况、运行状态、存在问题、改进及优化建议），具体要求如下：</w:t>
      </w:r>
    </w:p>
    <w:p w14:paraId="38102B0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）通信系统巡检</w:t>
      </w:r>
    </w:p>
    <w:p w14:paraId="7C3E75FB">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每日对电视电话会议系统进行巡检、确保电视电话会议系统运行状态良好，保障会议正常进行。</w:t>
      </w:r>
    </w:p>
    <w:p w14:paraId="62EFE436">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每日对应急通信系统、无线支撑平台、PDT鉴权加密系统进行巡检，确保这些系统处于无故障运行状态，满足应急通信服务需求。</w:t>
      </w:r>
    </w:p>
    <w:p w14:paraId="226D5597">
      <w:pPr>
        <w:pStyle w:val="10"/>
        <w:spacing w:line="360" w:lineRule="auto"/>
        <w:ind w:left="405"/>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）通信设备巡检</w:t>
      </w:r>
    </w:p>
    <w:p w14:paraId="4DE2574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每周对通信设备包含视音频通信设备（多点控制单元（MCU）、会控服务器、视频会议终端、高清摄像机、录播服务器、电视墙服务器、视音频矩阵、投影机、小间距LED屏、拼控器、网络交换机等主要设备及相关附属设备。）巡检，确保视频会议系统有良好的显示效果，并根据环境、噪声大小适当调整设置信号放大值以及频响特性，确保视频会议系统有良好的音响效果。</w:t>
      </w:r>
    </w:p>
    <w:p w14:paraId="70E90E6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每周对卫星电话、北斗短报文终端、PDT电台等进行巡检，及时充电，确保通信设备具有良好的运行状态。</w:t>
      </w:r>
    </w:p>
    <w:p w14:paraId="7451419D">
      <w:pPr>
        <w:pStyle w:val="10"/>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每周对卫星地面站进行检测，包含卫星天线、卫星功放检测；卫星调制解调、图像编解码、频谱检测；卫星网管、监控主机检测；音视频矩阵、光端机检测；摄像系统、音响系统、DVD、显示器检测；机柜内清洁维护；确保设备运行正常。</w:t>
      </w:r>
    </w:p>
    <w:p w14:paraId="48BF9C69">
      <w:pPr>
        <w:pStyle w:val="10"/>
        <w:spacing w:line="360" w:lineRule="auto"/>
        <w:ind w:left="405"/>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）通信车辆巡检</w:t>
      </w:r>
    </w:p>
    <w:p w14:paraId="21C01FA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每周对通信车辆进行巡检，检查车辆供电情况，保证各种设备的供电电压稳定。对各个电源插座、通讯线路、联接线插接头进行检查、防止松动脱落和连接头生锈，为老化、退色、丢失的标识重新贴上标识，以便于维护检修。</w:t>
      </w:r>
    </w:p>
    <w:p w14:paraId="54188D7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通信车辆具体要求如下：</w:t>
      </w:r>
    </w:p>
    <w:p w14:paraId="7C3F4F7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高清“动中通”卫星通信车</w:t>
      </w:r>
    </w:p>
    <w:p w14:paraId="24F132E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车况（胎压、油表、车灯等）检测；发电机、UPS、充电机、电缆盘检测；瓶电压检测；支撑系统测试；车载卫星天线、射频设备、卫星功率放大器、卫星调制解调设备、编解码器、频谱仪、北斗定位、卫星网管系统、加密机等检测；载摄像系统、便携摄像系统、单兵无线图传系统、音响系统、音视频矩阵检测；载视音频系统（显示器、硬盘录像系统、DVD等）检测；网络交换机、便携计算机检测；车内外接口（电话、网络、音视频等）检测；350兆车台检测；导航系统、照明系统检测；车内清洁维护；</w:t>
      </w:r>
    </w:p>
    <w:p w14:paraId="316D0BA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高清图传通信车</w:t>
      </w:r>
    </w:p>
    <w:p w14:paraId="5400722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车况（胎压、油表、车灯等）检测；逆变电源、充电机、电缆盘检测；电瓶电压检测；车载图传系统检测；车载摄像系统、便携式摄像系统、单兵无线图传系统、音箱系统、视音频矩阵系统检测；车内外接口（电话、网络、视音频等）检测；350兆车台检测；照明系统检测；车内清洁维护。</w:t>
      </w:r>
    </w:p>
    <w:p w14:paraId="6A472D4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对通信车辆中需要定期维护的系统、设备按照维护保养要求进行维护保养，每年重点有以下部分：高清“动中通”卫星通信车车载发电机（含发电机电瓶、机头、控制器等）、车载电瓶、“动中通”卫星天线系统（含伺服、惯导、控制等）等；高清无线图传车车载发电系统（充电机、逆变电源及电瓶等）、车载电瓶等。每年更换一次高清“动中通”卫星通信车、高清无线图传车UPS电池、发电机系统电瓶、车载电瓶等。</w:t>
      </w:r>
    </w:p>
    <w:p w14:paraId="6ECDF51F">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每架无人机购买保险一份（保险内容不低于往年保险内容）。确保卫星电话、北斗短报文通信年度通信资费。</w:t>
      </w:r>
    </w:p>
    <w:p w14:paraId="36C8C59C">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4</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通信机房以及配套基础设施巡检及保养</w:t>
      </w:r>
    </w:p>
    <w:p w14:paraId="0004837E">
      <w:pPr>
        <w:pStyle w:val="10"/>
        <w:spacing w:line="360" w:lineRule="auto"/>
        <w:ind w:firstLine="4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为了最大限度保障通信机房以及配套通信基础设施的正常运行，每周对以上通信机房及通信基础设施进行巡检并记录，具体要求如下：</w:t>
      </w:r>
    </w:p>
    <w:p w14:paraId="2277A2B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 xml:space="preserve"> 按照采购人要求，配合完成通信机房的温湿度、视频监控、门禁等基础环境高可用改造，并纳入厅机关运维平台统一监控，加强机房基础环境安全，配套相关告警设备，确保机房环境告警通过声光电及短信方式告警。每年测地阻1次；每年对机房防尘处理1次；配备1台温湿度器及若干灭火器，灭火器容量要与机房相当。</w:t>
      </w:r>
    </w:p>
    <w:p w14:paraId="106E7E2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按照采购人要求，配合完成通信机房的UPS独立供电和高可用改造，消除线路老化、负载超限及单点故障风险，并纳入厅机关运维平台统一监控，提升供电稳定性与安全冗余。每年对供电系统维护保养2次；每月检查UPS电池组容量，当UPS电池组容量下降到50%以下或超出设备使用生命周期时，须更换UPS电池组。</w:t>
      </w:r>
    </w:p>
    <w:p w14:paraId="21A6746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空调系统。按照采购人要求，负责精密空调正常运行，纳入厅机关运维平台统一监控管理，全面保障机房环境稳定。每年对空调维修保养2次，含清洗、更换过滤网；其中无线通信机房精密空调应提供每年2次的原厂维保服务。</w:t>
      </w:r>
    </w:p>
    <w:p w14:paraId="6D579F7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4）将天通卫星信号接入指挥大厅并提供固话式卫星电话（含话机底座、手持机）、天通猫各1部。</w:t>
      </w:r>
    </w:p>
    <w:p w14:paraId="406AAF69">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5.</w:t>
      </w:r>
      <w:r>
        <w:rPr>
          <w:rFonts w:hint="eastAsia" w:asciiTheme="minorEastAsia" w:hAnsiTheme="minorEastAsia" w:eastAsiaTheme="minorEastAsia" w:cstheme="minorEastAsia"/>
          <w:b/>
          <w:color w:val="auto"/>
          <w:sz w:val="24"/>
          <w:szCs w:val="24"/>
        </w:rPr>
        <w:t>处理要求</w:t>
      </w:r>
    </w:p>
    <w:p w14:paraId="5AB11E1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各视频会议系统设备发生紧急故障时，服务商在接到采购人通知后应立即响应，并在30分钟派员内到达现场进行维修，服务商应严格按国家有关影音设备系统工程的安装、调试规范进行设备维修、更换及软件调试，使系统恢复正常运行，出现对视频会议造成影响的软硬件故障，视情扣除运维费。在合同服务期内不限维修次数，同时对采购人自行更换的设备应给予帮助并配合安装调试。</w:t>
      </w:r>
    </w:p>
    <w:p w14:paraId="15CF69FD">
      <w:pPr>
        <w:pStyle w:val="10"/>
        <w:spacing w:line="360" w:lineRule="auto"/>
        <w:ind w:firstLine="4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如故障设备无法现场修复，需要寄回厂家进行维修的，服务商必须提供与故障设备相同性能的备机进行顶替，以确保视频会议系统正常稳定运行。</w:t>
      </w:r>
    </w:p>
    <w:p w14:paraId="1DA54747">
      <w:pPr>
        <w:pStyle w:val="10"/>
        <w:spacing w:line="360" w:lineRule="auto"/>
        <w:ind w:firstLine="4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服务商派驻的维护人员对运维设备的关键参数的更改应事先征得采购人同意，并做好更新登记工作。</w:t>
      </w:r>
    </w:p>
    <w:p w14:paraId="1AA5E17C">
      <w:pPr>
        <w:pStyle w:val="10"/>
        <w:spacing w:line="360" w:lineRule="auto"/>
        <w:ind w:firstLine="4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在维护合同期内，当会议系统及其余设备（可向采购人查询会议系统项目合同附件清单》）有故障时，服务商可采用及时送修故障设备或采用备品备件、</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设备无缝平滑替代故障设备的方式对会议系统进行及时修复。会议系统故障查处工作不得影响采购人正常召开视频会议。改造所需的软硬件设备均由投标人中标后免费提供，并要求与采购人现有系统设备兼容互通。</w:t>
      </w:r>
    </w:p>
    <w:p w14:paraId="5C74DE3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采购人通信设备及支撑系统中需要定期维护的系统、设备按照维护保养要求进行维护保养，需要维护保养主要系统、设备如下：高清“动中通”卫星通信车车载发电机（含发电机电瓶、机头、控制器等）、车载电瓶、“动中通”卫星天线系统（含伺服、惯导、控制等）等；高清无线图传车车载发电系统（充电机、逆变电源及电瓶等）、车载电瓶等。每年更换一次高清“动中通”卫星通信车、高清无线图传车UPS电池、发电机系统电瓶、车载电瓶等。</w:t>
      </w:r>
    </w:p>
    <w:p w14:paraId="2447800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各维保的通信设备一旦出现故障，24小时内到故障现场排除解决，如现场不能解决的，需要返厂维修的，立即寄回厂家维修，如设备有提供备品的，立即更换备品备件，返厂维修时间不得超过30天。服务期间，当故障设备无法维修时，投标人中标后提供备品备件或以其他应急手段保障系统正常运行。同时对设备清单中的软件版本及配置进行定期备份，在软件故障时及时恢复。投标人中标后免费提供各系统软件的重装、恢复、升级、优化和扩充的技术支持。</w:t>
      </w:r>
    </w:p>
    <w:p w14:paraId="334C00B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因不可抗力(如：地震、火灾、水灾等)造成的损坏不属于设备保修范围。</w:t>
      </w:r>
    </w:p>
    <w:p w14:paraId="1B61E72D">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6.</w:t>
      </w:r>
      <w:r>
        <w:rPr>
          <w:rFonts w:hint="eastAsia" w:asciiTheme="minorEastAsia" w:hAnsiTheme="minorEastAsia" w:eastAsiaTheme="minorEastAsia" w:cstheme="minorEastAsia"/>
          <w:b/>
          <w:color w:val="auto"/>
          <w:sz w:val="24"/>
          <w:szCs w:val="24"/>
        </w:rPr>
        <w:t>质量管理要求</w:t>
      </w:r>
    </w:p>
    <w:p w14:paraId="162CC57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1）投标人中标后须每季度开展一次服务分析会议，与采购人相关对口部门人员就过去一季度的服务质量进行分析，包括但不限于故障分析、架构优化建议、服务管理优化、服务流程优化。</w:t>
      </w:r>
    </w:p>
    <w:p w14:paraId="0EBF116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2）按照采购人要求，每年配合开展至少4次相关技术培训，包括但不限于运维操作、系统优化、系统监控、故障排查等方面。</w:t>
      </w:r>
    </w:p>
    <w:p w14:paraId="37F47BA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为满足移动端音视频业务需要，投标人中标后须提供适用于Android平台的手机输入法，集语音、手写、键盘输入于一体，可以在同一界面实现多种输入方式平滑切换，结合警务语音识别服务系统的特定优化，贴合特有领域的应用，丰富专有词汇数据、语音习惯等。该服务需支持不少于20路并发或400客户端接入，系统会自动识别用户口述语音，并把识别的文字结果输入到文本区域中。</w:t>
      </w:r>
    </w:p>
    <w:p w14:paraId="5474FF82">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7.</w:t>
      </w:r>
      <w:r>
        <w:rPr>
          <w:rFonts w:hint="eastAsia" w:asciiTheme="minorEastAsia" w:hAnsiTheme="minorEastAsia" w:eastAsiaTheme="minorEastAsia" w:cstheme="minorEastAsia"/>
          <w:b/>
          <w:color w:val="auto"/>
          <w:sz w:val="24"/>
          <w:szCs w:val="24"/>
        </w:rPr>
        <w:t>运维安全要求</w:t>
      </w:r>
    </w:p>
    <w:p w14:paraId="525946D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投标人中标后现场技术服务团队应按照采购人相关安全管理规定开展日常工作，并签订《保密承诺书》等与安全相关的文件。</w:t>
      </w:r>
    </w:p>
    <w:p w14:paraId="7051EDEB">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8.</w:t>
      </w:r>
      <w:r>
        <w:rPr>
          <w:rFonts w:hint="eastAsia" w:asciiTheme="minorEastAsia" w:hAnsiTheme="minorEastAsia" w:eastAsiaTheme="minorEastAsia" w:cstheme="minorEastAsia"/>
          <w:b/>
          <w:color w:val="auto"/>
          <w:sz w:val="24"/>
          <w:szCs w:val="24"/>
        </w:rPr>
        <w:t>备品备件要求</w:t>
      </w:r>
    </w:p>
    <w:p w14:paraId="609D606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于维保的音视频设备和通信设备，在维保合同签定之日起1个月内，投标人中标后根据采购人业务需求建立备件库，备品备件的范围不少于卫星业务调制解调器、卫星网管调制解调器、远端地球站网管单元、卫星高清视频编解码器、ODU、LNB、软波导和专业电缆及接头、单兵340兆图传发射机、单兵340兆图传接收机、单兵图传发射天线、单兵图传接收天线、车外高清摄像机、车内会议区高清一体化摄像机、车内会议区高清定焦摄像机、车尾高清后视摄像机、高清光端机</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对等，备件应为原厂原装产品(暂停生产的备件提供原厂替代产品或性能指标不低于原设备的替代产品)，以满足在12小时内更换到位的需求。服务期间，投标人中标后提供7X24小时备品备件支持服务，维保设备发生硬件故障且在12小时内无法修复时，投标人中标后提供备件用于替换，直至故障设备修复为止。</w:t>
      </w:r>
    </w:p>
    <w:p w14:paraId="13FC39D5">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9.</w:t>
      </w:r>
      <w:r>
        <w:rPr>
          <w:rFonts w:hint="eastAsia" w:asciiTheme="minorEastAsia" w:hAnsiTheme="minorEastAsia" w:eastAsiaTheme="minorEastAsia" w:cstheme="minorEastAsia"/>
          <w:b/>
          <w:color w:val="auto"/>
          <w:sz w:val="24"/>
          <w:szCs w:val="24"/>
        </w:rPr>
        <w:t>文档交付要求</w:t>
      </w:r>
    </w:p>
    <w:p w14:paraId="0EFF722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投标人中标后须每月向采购人提交的文档有：</w:t>
      </w:r>
    </w:p>
    <w:p w14:paraId="40E15DD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通信系统及设备巡检报告</w:t>
      </w:r>
    </w:p>
    <w:p w14:paraId="5B9E560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通信车辆巡检报告</w:t>
      </w:r>
    </w:p>
    <w:p w14:paraId="77C3120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通信基础设施巡检报告</w:t>
      </w:r>
    </w:p>
    <w:p w14:paraId="13EB68B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4</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故障排查情况统计表</w:t>
      </w:r>
    </w:p>
    <w:p w14:paraId="0E8C001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5</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视频会议保障情况统计表</w:t>
      </w:r>
    </w:p>
    <w:p w14:paraId="29A9291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6</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应急通信保障情况统计表</w:t>
      </w:r>
    </w:p>
    <w:p w14:paraId="1D5B60F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7</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驻点维护人员通信保障能力考核统计表</w:t>
      </w:r>
    </w:p>
    <w:p w14:paraId="33C7A8A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中标后应针对本项目系统建立完善的维护支持档案，除了包含系统配置、硬件参数说明、连接说明、拓扑图等相关基础材料，还需要包含双方人员联络信息、设备维修记录、备品备件储存情况记录。服务期间，所生成的服务报告和技术文档都将由投标人中标后负责维护和更新。合同到期后，投标人中标后应把服务文档完整移交采购人。投标人中标后每半年和维保期届满时提供一份完整维护支持档案给采购人，以供采购人备案。</w:t>
      </w:r>
    </w:p>
    <w:p w14:paraId="40E6E583">
      <w:pPr>
        <w:pStyle w:val="10"/>
        <w:numPr>
          <w:ilvl w:val="0"/>
          <w:numId w:val="0"/>
        </w:numPr>
        <w:spacing w:line="360" w:lineRule="auto"/>
        <w:ind w:firstLine="482" w:firstLineChars="200"/>
        <w:outlineLvl w:val="3"/>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eastAsia="zh-CN"/>
        </w:rPr>
        <w:t>（四）</w:t>
      </w:r>
      <w:r>
        <w:rPr>
          <w:rFonts w:hint="eastAsia" w:asciiTheme="minorEastAsia" w:hAnsiTheme="minorEastAsia" w:eastAsiaTheme="minorEastAsia" w:cstheme="minorEastAsia"/>
          <w:b/>
          <w:color w:val="auto"/>
          <w:sz w:val="24"/>
          <w:szCs w:val="24"/>
        </w:rPr>
        <w:t>基础软件维护部分</w:t>
      </w:r>
    </w:p>
    <w:p w14:paraId="49D22F3E">
      <w:pPr>
        <w:pStyle w:val="10"/>
        <w:numPr>
          <w:ilvl w:val="0"/>
          <w:numId w:val="0"/>
        </w:numPr>
        <w:spacing w:line="360" w:lineRule="auto"/>
        <w:ind w:firstLine="482"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1.</w:t>
      </w:r>
      <w:r>
        <w:rPr>
          <w:rFonts w:hint="eastAsia" w:asciiTheme="minorEastAsia" w:hAnsiTheme="minorEastAsia" w:eastAsiaTheme="minorEastAsia" w:cstheme="minorEastAsia"/>
          <w:b/>
          <w:color w:val="auto"/>
          <w:sz w:val="24"/>
          <w:szCs w:val="24"/>
        </w:rPr>
        <w:t>总体要求</w:t>
      </w:r>
    </w:p>
    <w:p w14:paraId="0FA3373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投标人须根据项目交付需要派驻现场技术服务团队，负责每日现场保障采购人已过保基础软件的正常运行，涵盖数据库、中间件、容灾备份、虚拟化和操作系统维护等，每个岗位都要有主备，工作时间服务团队至少有3名技术工程师在采购人运维场所现场值守。现场技术服务管理负责人要求具有10年以上的基础软件维护服务管理经验，各维护岗位技术负责人要求具有5年以上相应工作的维护经验，其他现场技术维护人员要求具有3年以上相应工作的维护经验，并须在派驻后1个月内通过采购人的实操、运维培训及考核。</w:t>
      </w:r>
    </w:p>
    <w:p w14:paraId="01331A0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投标人现场技术服务团队实行7×12小时现场值班和7×24小时响应制度。现场技术服务团队参照采购人日常管理，服从采购人工作安排，遵守采购人信息化合作人员相关安全管理制度，签订《保密承诺书》。现场技术服务团队如发生成员变动等情况，人员调整书面申请必须得到采购人的确认，确保现场技术服务团队整体水平、经验不下降。</w:t>
      </w:r>
    </w:p>
    <w:p w14:paraId="4257C6D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投标人现场技术服务团队应在公安运维运营平台上对数据中心各类基础软件进行在线监控，完善资产信息，优化告警策略，确保故障告警准确定位。每日开展一次健康巡检，在公安运维运营平台上上传巡检记录和截图，生成《日服务报告》，并由采购人相关管理员签收确认。</w:t>
      </w:r>
    </w:p>
    <w:p w14:paraId="5D1E8FD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4）本项目维保范围内的基础软件若发生故障，投标人应及时响应故障，并在规定时间内解决故障、恢复业务，具体故障级别及处理时限以公安运维运营平台上工单系统的要求为准，故障恢复后出具《故障处理报告》，报告内容应包括故障描述、故障处理过程、故障原因分析、故障解决建议。</w:t>
      </w:r>
    </w:p>
    <w:p w14:paraId="3656925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5）投标人须根据采购人要求，每半年针对数据中心基础软件各个方面的一个故障点和备份数据恢复</w:t>
      </w:r>
      <w:r>
        <w:rPr>
          <w:rFonts w:hint="eastAsia" w:asciiTheme="minorEastAsia" w:hAnsiTheme="minorEastAsia" w:cstheme="minorEastAsia"/>
          <w:color w:val="auto"/>
          <w:sz w:val="24"/>
          <w:szCs w:val="24"/>
          <w:lang w:val="en-US" w:eastAsia="zh-CN"/>
        </w:rPr>
        <w:t>场景</w:t>
      </w:r>
      <w:r>
        <w:rPr>
          <w:rFonts w:hint="eastAsia" w:asciiTheme="minorEastAsia" w:hAnsiTheme="minorEastAsia" w:eastAsiaTheme="minorEastAsia" w:cstheme="minorEastAsia"/>
          <w:color w:val="auto"/>
          <w:sz w:val="24"/>
          <w:szCs w:val="24"/>
        </w:rPr>
        <w:t>进行一次应急演练。投标人提供的应急演练方案须包括系统现状描述、应急操作人员安排、应急环境准备、应急操作步骤及时间计划、演练回退措施、风险规避措施等。应急演练方案须经过内部专家团队评审后，提交采购人进行审核，须保证提供的应急演练方案的技术上的安全性，并对应急演练所产生的后果承担全部责任。</w:t>
      </w:r>
    </w:p>
    <w:p w14:paraId="7326545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6）投标人须根据项目服务情况，每周在采购人现场开周例会，会议内容包括但不限于上周服务情况分析、本周服务工作计划等方面；每月在采购人现场开月例会，会议内容包括但不限于上月项目服务情况汇总分析、采购人指定软硬件系统深度巡检和性能优化情况、经常性故障或有运维隐患软硬件系统的优化建议等，提交《月服务总结报告》。</w:t>
      </w:r>
    </w:p>
    <w:p w14:paraId="750561F3">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2.</w:t>
      </w:r>
      <w:r>
        <w:rPr>
          <w:rFonts w:hint="eastAsia" w:asciiTheme="minorEastAsia" w:hAnsiTheme="minorEastAsia" w:eastAsiaTheme="minorEastAsia" w:cstheme="minorEastAsia"/>
          <w:b/>
          <w:color w:val="auto"/>
          <w:sz w:val="24"/>
          <w:szCs w:val="24"/>
        </w:rPr>
        <w:t>操作系统维护服务要求</w:t>
      </w:r>
    </w:p>
    <w:p w14:paraId="72C09171">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1）投标人须根据采购人需求</w:t>
      </w:r>
      <w:r>
        <w:rPr>
          <w:rFonts w:hint="eastAsia" w:asciiTheme="minorEastAsia" w:hAnsiTheme="minorEastAsia" w:cstheme="minorEastAsia"/>
          <w:color w:val="auto"/>
          <w:sz w:val="24"/>
          <w:szCs w:val="24"/>
          <w:lang w:val="en-US" w:eastAsia="zh-CN"/>
        </w:rPr>
        <w:t>完成</w:t>
      </w:r>
      <w:r>
        <w:rPr>
          <w:rFonts w:hint="eastAsia" w:asciiTheme="minorEastAsia" w:hAnsiTheme="minorEastAsia" w:eastAsiaTheme="minorEastAsia" w:cstheme="minorEastAsia"/>
          <w:color w:val="auto"/>
          <w:sz w:val="24"/>
          <w:szCs w:val="24"/>
        </w:rPr>
        <w:t>各类操作系统安装、重启、密码重置、补丁升级、安全加固等。</w:t>
      </w:r>
    </w:p>
    <w:p w14:paraId="4D4CA96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2）根据采购人需求维护yum源服务器，并建立符合安全标准的</w:t>
      </w:r>
      <w:r>
        <w:rPr>
          <w:rFonts w:hint="eastAsia" w:asciiTheme="minorEastAsia" w:hAnsiTheme="minorEastAsia" w:cstheme="minorEastAsia"/>
          <w:color w:val="auto"/>
          <w:sz w:val="24"/>
          <w:szCs w:val="24"/>
          <w:lang w:val="en-US" w:eastAsia="zh-CN"/>
        </w:rPr>
        <w:t>统一</w:t>
      </w:r>
      <w:r>
        <w:rPr>
          <w:rFonts w:hint="eastAsia" w:asciiTheme="minorEastAsia" w:hAnsiTheme="minorEastAsia" w:eastAsiaTheme="minorEastAsia" w:cstheme="minorEastAsia"/>
          <w:color w:val="auto"/>
          <w:sz w:val="24"/>
          <w:szCs w:val="24"/>
        </w:rPr>
        <w:t>操作系统</w:t>
      </w:r>
      <w:r>
        <w:rPr>
          <w:rFonts w:hint="eastAsia" w:asciiTheme="minorEastAsia" w:hAnsiTheme="minorEastAsia" w:cstheme="minorEastAsia"/>
          <w:color w:val="auto"/>
          <w:sz w:val="24"/>
          <w:szCs w:val="24"/>
          <w:lang w:val="en-US" w:eastAsia="zh-CN"/>
        </w:rPr>
        <w:t>镜像</w:t>
      </w:r>
      <w:r>
        <w:rPr>
          <w:rFonts w:hint="eastAsia" w:asciiTheme="minorEastAsia" w:hAnsiTheme="minorEastAsia" w:eastAsiaTheme="minorEastAsia" w:cstheme="minorEastAsia"/>
          <w:color w:val="auto"/>
          <w:sz w:val="24"/>
          <w:szCs w:val="24"/>
        </w:rPr>
        <w:t>模板，并定期进行各系统版本基线检查，维护升级模板。</w:t>
      </w:r>
    </w:p>
    <w:p w14:paraId="7CAF6A1F">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3.</w:t>
      </w:r>
      <w:r>
        <w:rPr>
          <w:rFonts w:hint="eastAsia" w:asciiTheme="minorEastAsia" w:hAnsiTheme="minorEastAsia" w:eastAsiaTheme="minorEastAsia" w:cstheme="minorEastAsia"/>
          <w:b/>
          <w:color w:val="auto"/>
          <w:sz w:val="24"/>
          <w:szCs w:val="24"/>
        </w:rPr>
        <w:t>核心数据库维护服务要求</w:t>
      </w:r>
    </w:p>
    <w:p w14:paraId="253176B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1）投标人须根据采购人需求完成核心数据库的规划安装、日常运维、迁移、数据同步、性能监控及备份恢复工作，并形成数据库的档案。</w:t>
      </w:r>
    </w:p>
    <w:p w14:paraId="355F6C3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2）核心数据库硬件运行环境监控和保障。</w:t>
      </w:r>
    </w:p>
    <w:p w14:paraId="04EA93F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3）按需提供数据库访问权限控制服务，管控非授权访问。</w:t>
      </w:r>
    </w:p>
    <w:p w14:paraId="62BEBCC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4）按需提供SQL语句人工审核服务，优化SQL语句执行效率。</w:t>
      </w:r>
    </w:p>
    <w:p w14:paraId="284A635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5）对有安全风险或bug的数据库进行小版本升级。</w:t>
      </w:r>
    </w:p>
    <w:p w14:paraId="446536D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6）当数据库版本EOSL时，根据采购人要求制定大版本升级计划并实施。</w:t>
      </w:r>
    </w:p>
    <w:p w14:paraId="43AEFB90">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4.</w:t>
      </w:r>
      <w:r>
        <w:rPr>
          <w:rFonts w:hint="eastAsia" w:asciiTheme="minorEastAsia" w:hAnsiTheme="minorEastAsia" w:eastAsiaTheme="minorEastAsia" w:cstheme="minorEastAsia"/>
          <w:b/>
          <w:color w:val="auto"/>
          <w:sz w:val="24"/>
          <w:szCs w:val="24"/>
        </w:rPr>
        <w:t>一般数据库维护服务要求</w:t>
      </w:r>
    </w:p>
    <w:p w14:paraId="36CF168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1）投标人须根据采购人需求完成一般数据库的监控和日常巡检维护工作；</w:t>
      </w:r>
    </w:p>
    <w:p w14:paraId="5826A29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2）创建、更改、回收数据库全生命周期相关资源，分配数据库访问和操作权限，并根据申请定期回收用户和权限；维护各类数据对象的创建、更新、删除，并优化查询和新增SQL语句的执行计划。</w:t>
      </w:r>
    </w:p>
    <w:p w14:paraId="02ADE3C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3）一般数据库硬件运行环境监控和保障。</w:t>
      </w:r>
    </w:p>
    <w:p w14:paraId="1F5FC733">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5.</w:t>
      </w:r>
      <w:r>
        <w:rPr>
          <w:rFonts w:hint="eastAsia" w:asciiTheme="minorEastAsia" w:hAnsiTheme="minorEastAsia" w:eastAsiaTheme="minorEastAsia" w:cstheme="minorEastAsia"/>
          <w:b/>
          <w:color w:val="auto"/>
          <w:sz w:val="24"/>
          <w:szCs w:val="24"/>
        </w:rPr>
        <w:t>中间件维护服务要求</w:t>
      </w:r>
    </w:p>
    <w:p w14:paraId="52DD802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1）投标人须根据采购人需求开展中间件性能监控服务。</w:t>
      </w:r>
    </w:p>
    <w:p w14:paraId="3186450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2）根据采购人需求开展中间件故障工作。</w:t>
      </w:r>
    </w:p>
    <w:p w14:paraId="5A60818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3）根据采购人需求开展中间件集群的配置及运维管理工作。</w:t>
      </w:r>
    </w:p>
    <w:p w14:paraId="15DDFABE">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6.</w:t>
      </w:r>
      <w:r>
        <w:rPr>
          <w:rFonts w:hint="eastAsia" w:asciiTheme="minorEastAsia" w:hAnsiTheme="minorEastAsia" w:eastAsiaTheme="minorEastAsia" w:cstheme="minorEastAsia"/>
          <w:b/>
          <w:color w:val="auto"/>
          <w:sz w:val="24"/>
          <w:szCs w:val="24"/>
        </w:rPr>
        <w:t>虚拟化软件维护服务要求</w:t>
      </w:r>
    </w:p>
    <w:p w14:paraId="53F2D0A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投标人须结合采购人业务使用需求，规划和设计本项目范围内的云平台中的可用分区、容器、容器编排、主机组、安全组、卷备份、卷快照、浮动地址、VPC编排、镜像管理等云资源相关配置，并根据业务生产和基础环境变化，定期调整和优化以上策略。</w:t>
      </w:r>
    </w:p>
    <w:p w14:paraId="583A995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2）日常维护本项目范围内的多种底层计算虚拟化引擎、存储虚拟化引擎、网络虚拟化引擎、云操作系统的云平台引擎、云管理平台引擎的故障定位和诊断。</w:t>
      </w:r>
    </w:p>
    <w:p w14:paraId="0A614FE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3）投标人须</w:t>
      </w:r>
      <w:r>
        <w:rPr>
          <w:rFonts w:hint="eastAsia" w:asciiTheme="minorEastAsia" w:hAnsiTheme="minorEastAsia" w:cstheme="minorEastAsia"/>
          <w:color w:val="auto"/>
          <w:sz w:val="24"/>
          <w:szCs w:val="24"/>
          <w:lang w:val="en-US" w:eastAsia="zh-CN"/>
        </w:rPr>
        <w:t>按采购人要求，负责</w:t>
      </w:r>
      <w:r>
        <w:rPr>
          <w:rFonts w:hint="eastAsia" w:asciiTheme="minorEastAsia" w:hAnsiTheme="minorEastAsia" w:eastAsiaTheme="minorEastAsia" w:cstheme="minorEastAsia"/>
          <w:color w:val="auto"/>
          <w:sz w:val="24"/>
          <w:szCs w:val="24"/>
        </w:rPr>
        <w:t>跟踪、整理和统计云资源的台账及使用情况，处理云平台中的云资源系统BUG或升级软件版本。</w:t>
      </w:r>
    </w:p>
    <w:p w14:paraId="622D5E84">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7.</w:t>
      </w:r>
      <w:r>
        <w:rPr>
          <w:rFonts w:hint="eastAsia" w:asciiTheme="minorEastAsia" w:hAnsiTheme="minorEastAsia" w:eastAsiaTheme="minorEastAsia" w:cstheme="minorEastAsia"/>
          <w:b/>
          <w:color w:val="auto"/>
          <w:sz w:val="24"/>
          <w:szCs w:val="24"/>
        </w:rPr>
        <w:t>运维软件服务要求</w:t>
      </w:r>
    </w:p>
    <w:p w14:paraId="7A3FEE6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1）投标人提供本项目范围内的运维软件服务，包括智能网络管理、网络准入管理、网络流量分析、公安运维运营管理等，运维软件服务须符合公安部《GA/DSJ公安云计算平台技术要求》。</w:t>
      </w:r>
    </w:p>
    <w:p w14:paraId="535EA44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公安运维运营服务应支持本项目范围内的各种类型设备的带外监控需求，支持机房动环设备、软硬件资产和云资源的直接纳管、实时监控和告警管理，支持基于业务的精细化的告警规则，支持丰富的流量分析手段，满足日常运维所需的各角色服务工作台、值班告警流程、基于短信/语音的业务办理及通知必达服务等运维服务能力要求。</w:t>
      </w:r>
    </w:p>
    <w:p w14:paraId="22DFD61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提供本项目范围内的IP地址管理和域名解析服务。创建、更改、回收域名解析记录全生命周期相关资源，整理和统计域名解析资源的使用情况。根据业务生产和基础环境变化，定期调整和优化域名解析策略。定期巡检DNS系统健康情况，如CPU性能、内存性能、磁盘监测、网络接口监测等。排查日常域名解析故障，如常规解析异常、递归解析异常、域名服务器地址配置问题、网络异常等。及时更新和完善使用域名解析的应用系统URL等参数的运管监控，并进行整改和修复。</w:t>
      </w:r>
    </w:p>
    <w:p w14:paraId="26FB1EAD">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8.</w:t>
      </w:r>
      <w:r>
        <w:rPr>
          <w:rFonts w:hint="eastAsia" w:asciiTheme="minorEastAsia" w:hAnsiTheme="minorEastAsia" w:eastAsiaTheme="minorEastAsia" w:cstheme="minorEastAsia"/>
          <w:b/>
          <w:color w:val="auto"/>
          <w:sz w:val="24"/>
          <w:szCs w:val="24"/>
        </w:rPr>
        <w:t>核心数据库容灾服务要求</w:t>
      </w:r>
    </w:p>
    <w:p w14:paraId="4D93E4E6">
      <w:pPr>
        <w:pStyle w:val="10"/>
        <w:numPr>
          <w:ilvl w:val="0"/>
          <w:numId w:val="0"/>
        </w:num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投标人应严格遵循“六统四化”要求，负责迁移整合现网数据库资源池，</w:t>
      </w:r>
      <w:r>
        <w:rPr>
          <w:rFonts w:hint="eastAsia" w:asciiTheme="minorEastAsia" w:hAnsiTheme="minorEastAsia" w:cstheme="minorEastAsia"/>
          <w:color w:val="auto"/>
          <w:sz w:val="24"/>
          <w:szCs w:val="24"/>
          <w:lang w:val="en-US" w:eastAsia="zh-CN"/>
        </w:rPr>
        <w:t>扩容</w:t>
      </w:r>
      <w:r>
        <w:rPr>
          <w:rFonts w:hint="eastAsia" w:asciiTheme="minorEastAsia" w:hAnsiTheme="minorEastAsia" w:eastAsiaTheme="minorEastAsia" w:cstheme="minorEastAsia"/>
          <w:color w:val="auto"/>
          <w:sz w:val="24"/>
          <w:szCs w:val="24"/>
        </w:rPr>
        <w:t>提供≥460TB的总</w:t>
      </w:r>
      <w:r>
        <w:rPr>
          <w:rFonts w:hint="eastAsia" w:asciiTheme="minorEastAsia" w:hAnsiTheme="minorEastAsia" w:cstheme="minorEastAsia"/>
          <w:color w:val="auto"/>
          <w:sz w:val="24"/>
          <w:szCs w:val="24"/>
          <w:lang w:eastAsia="zh-CN"/>
        </w:rPr>
        <w:t>可得</w:t>
      </w:r>
      <w:r>
        <w:rPr>
          <w:rFonts w:hint="eastAsia" w:asciiTheme="minorEastAsia" w:hAnsiTheme="minorEastAsia" w:eastAsiaTheme="minorEastAsia" w:cstheme="minorEastAsia"/>
          <w:color w:val="auto"/>
          <w:sz w:val="24"/>
          <w:szCs w:val="24"/>
        </w:rPr>
        <w:t>存储空间，配套所需的计算存储资源和软件授权</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提供</w:t>
      </w:r>
      <w:r>
        <w:rPr>
          <w:rFonts w:hint="eastAsia" w:asciiTheme="minorEastAsia" w:hAnsiTheme="minorEastAsia" w:eastAsiaTheme="minorEastAsia" w:cstheme="minorEastAsia"/>
          <w:color w:val="auto"/>
          <w:sz w:val="24"/>
          <w:szCs w:val="24"/>
        </w:rPr>
        <w:t>高性能数据库、混合型数据库和小机容灾环境，满足</w:t>
      </w:r>
      <w:r>
        <w:rPr>
          <w:rFonts w:hint="eastAsia" w:asciiTheme="minorEastAsia" w:hAnsiTheme="minorEastAsia" w:cstheme="minorEastAsia"/>
          <w:color w:val="auto"/>
          <w:sz w:val="24"/>
          <w:szCs w:val="24"/>
          <w:lang w:eastAsia="zh-CN"/>
        </w:rPr>
        <w:t>各个专网</w:t>
      </w:r>
      <w:r>
        <w:rPr>
          <w:rFonts w:hint="eastAsia" w:asciiTheme="minorEastAsia" w:hAnsiTheme="minorEastAsia" w:eastAsiaTheme="minorEastAsia" w:cstheme="minorEastAsia"/>
          <w:color w:val="auto"/>
          <w:sz w:val="24"/>
          <w:szCs w:val="24"/>
        </w:rPr>
        <w:t>Oracle、MySQL、人大金仓、GaussDB、OceanBase等数据库</w:t>
      </w:r>
      <w:r>
        <w:rPr>
          <w:rFonts w:hint="eastAsia" w:asciiTheme="minorEastAsia" w:hAnsiTheme="minorEastAsia" w:cstheme="minorEastAsia"/>
          <w:color w:val="auto"/>
          <w:sz w:val="24"/>
          <w:szCs w:val="24"/>
          <w:lang w:val="en-US" w:eastAsia="zh-CN"/>
        </w:rPr>
        <w:t>的</w:t>
      </w:r>
      <w:r>
        <w:rPr>
          <w:rFonts w:hint="eastAsia" w:asciiTheme="minorEastAsia" w:hAnsiTheme="minorEastAsia" w:eastAsiaTheme="minorEastAsia" w:cstheme="minorEastAsia"/>
          <w:color w:val="auto"/>
          <w:sz w:val="24"/>
          <w:szCs w:val="24"/>
        </w:rPr>
        <w:t>容灾服务</w:t>
      </w:r>
      <w:r>
        <w:rPr>
          <w:rFonts w:hint="eastAsia" w:asciiTheme="minorEastAsia" w:hAnsiTheme="minorEastAsia" w:cstheme="minorEastAsia"/>
          <w:color w:val="auto"/>
          <w:sz w:val="24"/>
          <w:szCs w:val="24"/>
          <w:lang w:val="en-US" w:eastAsia="zh-CN"/>
        </w:rPr>
        <w:t>需求</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扩容整合后，</w:t>
      </w:r>
      <w:r>
        <w:rPr>
          <w:rFonts w:hint="eastAsia" w:asciiTheme="minorEastAsia" w:hAnsiTheme="minorEastAsia" w:eastAsiaTheme="minorEastAsia" w:cstheme="minorEastAsia"/>
          <w:color w:val="auto"/>
          <w:sz w:val="24"/>
          <w:szCs w:val="24"/>
        </w:rPr>
        <w:t>投标人</w:t>
      </w:r>
      <w:r>
        <w:rPr>
          <w:rFonts w:hint="eastAsia" w:asciiTheme="minorEastAsia" w:hAnsiTheme="minorEastAsia" w:cstheme="minorEastAsia"/>
          <w:color w:val="auto"/>
          <w:sz w:val="24"/>
          <w:szCs w:val="24"/>
          <w:lang w:val="en-US" w:eastAsia="zh-CN"/>
        </w:rPr>
        <w:t>应</w:t>
      </w:r>
      <w:r>
        <w:rPr>
          <w:rFonts w:hint="eastAsia" w:asciiTheme="minorEastAsia" w:hAnsiTheme="minorEastAsia" w:eastAsiaTheme="minorEastAsia" w:cstheme="minorEastAsia"/>
          <w:color w:val="auto"/>
          <w:sz w:val="24"/>
          <w:szCs w:val="24"/>
        </w:rPr>
        <w:t>确保采购人自建</w:t>
      </w:r>
      <w:r>
        <w:rPr>
          <w:rFonts w:hint="eastAsia" w:asciiTheme="minorEastAsia" w:hAnsiTheme="minorEastAsia" w:cstheme="minorEastAsia"/>
          <w:color w:val="auto"/>
          <w:sz w:val="24"/>
          <w:szCs w:val="24"/>
          <w:lang w:val="en-US" w:eastAsia="zh-CN"/>
        </w:rPr>
        <w:t>安全可靠</w:t>
      </w:r>
      <w:r>
        <w:rPr>
          <w:rFonts w:hint="eastAsia" w:asciiTheme="minorEastAsia" w:hAnsiTheme="minorEastAsia" w:eastAsiaTheme="minorEastAsia" w:cstheme="minorEastAsia"/>
          <w:color w:val="auto"/>
          <w:sz w:val="24"/>
          <w:szCs w:val="24"/>
        </w:rPr>
        <w:t>数据库</w:t>
      </w:r>
      <w:r>
        <w:rPr>
          <w:rFonts w:hint="eastAsia" w:asciiTheme="minorEastAsia" w:hAnsiTheme="minorEastAsia" w:cstheme="minorEastAsia"/>
          <w:color w:val="auto"/>
          <w:sz w:val="24"/>
          <w:szCs w:val="24"/>
          <w:lang w:val="en-US" w:eastAsia="zh-CN"/>
        </w:rPr>
        <w:t>的</w:t>
      </w:r>
      <w:r>
        <w:rPr>
          <w:rFonts w:hint="eastAsia" w:asciiTheme="minorEastAsia" w:hAnsiTheme="minorEastAsia" w:eastAsiaTheme="minorEastAsia" w:cstheme="minorEastAsia"/>
          <w:color w:val="auto"/>
          <w:sz w:val="24"/>
          <w:szCs w:val="24"/>
        </w:rPr>
        <w:t>总</w:t>
      </w:r>
      <w:r>
        <w:rPr>
          <w:rFonts w:hint="eastAsia" w:asciiTheme="minorEastAsia" w:hAnsiTheme="minorEastAsia" w:cstheme="minorEastAsia"/>
          <w:color w:val="auto"/>
          <w:sz w:val="24"/>
          <w:szCs w:val="24"/>
          <w:lang w:eastAsia="zh-CN"/>
        </w:rPr>
        <w:t>可得</w:t>
      </w:r>
      <w:r>
        <w:rPr>
          <w:rFonts w:hint="eastAsia" w:asciiTheme="minorEastAsia" w:hAnsiTheme="minorEastAsia" w:eastAsiaTheme="minorEastAsia" w:cstheme="minorEastAsia"/>
          <w:color w:val="auto"/>
          <w:sz w:val="24"/>
          <w:szCs w:val="24"/>
        </w:rPr>
        <w:t>存储空间≥800TB，满足采购人各生产系统数据库的运行环境要求，以及服务期内业务系统</w:t>
      </w:r>
      <w:r>
        <w:rPr>
          <w:rFonts w:hint="eastAsia" w:asciiTheme="minorEastAsia" w:hAnsiTheme="minorEastAsia" w:cstheme="minorEastAsia"/>
          <w:color w:val="auto"/>
          <w:sz w:val="24"/>
          <w:szCs w:val="24"/>
          <w:lang w:eastAsia="zh-CN"/>
        </w:rPr>
        <w:t>安全可靠适配</w:t>
      </w:r>
      <w:r>
        <w:rPr>
          <w:rFonts w:hint="eastAsia" w:asciiTheme="minorEastAsia" w:hAnsiTheme="minorEastAsia" w:eastAsiaTheme="minorEastAsia" w:cstheme="minorEastAsia"/>
          <w:color w:val="auto"/>
          <w:sz w:val="24"/>
          <w:szCs w:val="24"/>
        </w:rPr>
        <w:t>改造和测试的资源要求。考虑到公安业务的高可靠运行需求，投标人须根据业务增长情况及时提供应急动态资源，确保整体资源使用率≤70%。投标人须将完成上述工作所需的搬迁、布线、迁移工具、硬件配件、人工、耗材及软件等全部资源与服务费用，全额包含在投标总价中。投标人提供的核心数据库容灾服务的资源可纳入采购人自建数据库资源池统一计算。服务期满后，该自建数据库资源池归采购人所有。</w:t>
      </w:r>
    </w:p>
    <w:p w14:paraId="3C4CBBA3">
      <w:pPr>
        <w:pStyle w:val="10"/>
        <w:numPr>
          <w:ilvl w:val="0"/>
          <w:numId w:val="0"/>
        </w:num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投标人提供的核心数据库容灾服务存储均为全闪存储，计算节点、存储节点和网络交换链路均须为全冗余架构设计及配置，任何节点或链路单点故障，不会影响数据库的正常运行。</w:t>
      </w:r>
    </w:p>
    <w:p w14:paraId="1C490A92">
      <w:pPr>
        <w:pStyle w:val="10"/>
        <w:numPr>
          <w:ilvl w:val="0"/>
          <w:numId w:val="0"/>
        </w:num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高性能数据库资源池的存储应为NVME固态盘，存储节点之间互联带宽≥400G，存储平面通讯网络为IB网络或RoCE网络，支持任意两个节点故障数据不丢失，支持自动化及图形化方式的部署和监控。</w:t>
      </w:r>
    </w:p>
    <w:p w14:paraId="59D69AF1">
      <w:pPr>
        <w:pStyle w:val="10"/>
        <w:numPr>
          <w:ilvl w:val="0"/>
          <w:numId w:val="0"/>
        </w:num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当采购人机房的生产环境服务或数据出现硬件故障、电力中断、网络中断等异常情况时，容灾中心可以及时接管生产系统的业务，保证对外服务不间断，容灾系统RTO目标为30分钟，RPO为0。</w:t>
      </w:r>
    </w:p>
    <w:p w14:paraId="7627C28E">
      <w:pPr>
        <w:pStyle w:val="10"/>
        <w:numPr>
          <w:ilvl w:val="0"/>
          <w:numId w:val="0"/>
        </w:numPr>
        <w:spacing w:line="360" w:lineRule="auto"/>
        <w:ind w:firstLine="482"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9.</w:t>
      </w:r>
      <w:r>
        <w:rPr>
          <w:rFonts w:hint="eastAsia" w:asciiTheme="minorEastAsia" w:hAnsiTheme="minorEastAsia" w:eastAsiaTheme="minorEastAsia" w:cstheme="minorEastAsia"/>
          <w:b/>
          <w:color w:val="auto"/>
          <w:sz w:val="24"/>
          <w:szCs w:val="24"/>
        </w:rPr>
        <w:t>数据备份服务要求</w:t>
      </w:r>
    </w:p>
    <w:p w14:paraId="5DCB7A49">
      <w:pPr>
        <w:pStyle w:val="10"/>
        <w:numPr>
          <w:ilvl w:val="0"/>
          <w:numId w:val="0"/>
        </w:num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投标人应严格遵循“六统四化”要求，负责迁移整合现网云计算和存储资源池，</w:t>
      </w:r>
      <w:r>
        <w:rPr>
          <w:rFonts w:hint="eastAsia" w:asciiTheme="minorEastAsia" w:hAnsiTheme="minorEastAsia" w:cstheme="minorEastAsia"/>
          <w:color w:val="auto"/>
          <w:sz w:val="24"/>
          <w:szCs w:val="24"/>
          <w:lang w:val="en-US" w:eastAsia="zh-CN"/>
        </w:rPr>
        <w:t>扩容</w:t>
      </w:r>
      <w:r>
        <w:rPr>
          <w:rFonts w:hint="eastAsia" w:asciiTheme="minorEastAsia" w:hAnsiTheme="minorEastAsia" w:eastAsiaTheme="minorEastAsia" w:cstheme="minorEastAsia"/>
          <w:color w:val="auto"/>
          <w:sz w:val="24"/>
          <w:szCs w:val="24"/>
        </w:rPr>
        <w:t>提供≥3500TB的</w:t>
      </w:r>
      <w:r>
        <w:rPr>
          <w:rFonts w:hint="eastAsia" w:asciiTheme="minorEastAsia" w:hAnsiTheme="minorEastAsia" w:cstheme="minorEastAsia"/>
          <w:color w:val="auto"/>
          <w:sz w:val="24"/>
          <w:szCs w:val="24"/>
          <w:lang w:eastAsia="zh-CN"/>
        </w:rPr>
        <w:t>可得</w:t>
      </w:r>
      <w:r>
        <w:rPr>
          <w:rFonts w:hint="eastAsia" w:asciiTheme="minorEastAsia" w:hAnsiTheme="minorEastAsia" w:eastAsiaTheme="minorEastAsia" w:cstheme="minorEastAsia"/>
          <w:color w:val="auto"/>
          <w:sz w:val="24"/>
          <w:szCs w:val="24"/>
        </w:rPr>
        <w:t>备份存储空间，并配套提供备份恢复与挂载所需的计算资源、存储资源及软件授权，满足</w:t>
      </w:r>
      <w:r>
        <w:rPr>
          <w:rFonts w:hint="eastAsia" w:asciiTheme="minorEastAsia" w:hAnsiTheme="minorEastAsia" w:cstheme="minorEastAsia"/>
          <w:color w:val="auto"/>
          <w:sz w:val="24"/>
          <w:szCs w:val="24"/>
          <w:lang w:eastAsia="zh-CN"/>
        </w:rPr>
        <w:t>各个专网</w:t>
      </w:r>
      <w:r>
        <w:rPr>
          <w:rFonts w:hint="eastAsia" w:asciiTheme="minorEastAsia" w:hAnsiTheme="minorEastAsia" w:eastAsiaTheme="minorEastAsia" w:cstheme="minorEastAsia"/>
          <w:color w:val="auto"/>
          <w:sz w:val="24"/>
          <w:szCs w:val="24"/>
        </w:rPr>
        <w:t>核心数据库和公安云计算平台重要虚拟机数据备份的运行环境要求。</w:t>
      </w:r>
      <w:r>
        <w:rPr>
          <w:rFonts w:hint="eastAsia" w:asciiTheme="minorEastAsia" w:hAnsiTheme="minorEastAsia" w:cstheme="minorEastAsia"/>
          <w:color w:val="auto"/>
          <w:sz w:val="24"/>
          <w:szCs w:val="24"/>
          <w:lang w:val="en-US" w:eastAsia="zh-CN"/>
        </w:rPr>
        <w:t>扩容整合后，</w:t>
      </w:r>
      <w:r>
        <w:rPr>
          <w:rFonts w:hint="eastAsia" w:asciiTheme="minorEastAsia" w:hAnsiTheme="minorEastAsia" w:eastAsiaTheme="minorEastAsia" w:cstheme="minorEastAsia"/>
          <w:color w:val="auto"/>
          <w:sz w:val="24"/>
          <w:szCs w:val="24"/>
        </w:rPr>
        <w:t>投标人</w:t>
      </w:r>
      <w:r>
        <w:rPr>
          <w:rFonts w:hint="eastAsia" w:asciiTheme="minorEastAsia" w:hAnsiTheme="minorEastAsia" w:cstheme="minorEastAsia"/>
          <w:color w:val="auto"/>
          <w:sz w:val="24"/>
          <w:szCs w:val="24"/>
          <w:lang w:val="en-US" w:eastAsia="zh-CN"/>
        </w:rPr>
        <w:t>应确保</w:t>
      </w:r>
      <w:r>
        <w:rPr>
          <w:rFonts w:hint="eastAsia" w:asciiTheme="minorEastAsia" w:hAnsiTheme="minorEastAsia" w:eastAsiaTheme="minorEastAsia" w:cstheme="minorEastAsia"/>
          <w:color w:val="auto"/>
          <w:sz w:val="24"/>
          <w:szCs w:val="24"/>
        </w:rPr>
        <w:t>采购人自建</w:t>
      </w:r>
      <w:r>
        <w:rPr>
          <w:rFonts w:hint="eastAsia" w:asciiTheme="minorEastAsia" w:hAnsiTheme="minorEastAsia" w:cstheme="minorEastAsia"/>
          <w:color w:val="auto"/>
          <w:sz w:val="24"/>
          <w:szCs w:val="24"/>
          <w:lang w:val="en-US" w:eastAsia="zh-CN"/>
        </w:rPr>
        <w:t>安全可靠</w:t>
      </w:r>
      <w:r>
        <w:rPr>
          <w:rFonts w:hint="eastAsia" w:asciiTheme="minorEastAsia" w:hAnsiTheme="minorEastAsia" w:eastAsiaTheme="minorEastAsia" w:cstheme="minorEastAsia"/>
          <w:color w:val="auto"/>
          <w:sz w:val="24"/>
          <w:szCs w:val="24"/>
        </w:rPr>
        <w:t>云资源池的CPU核数/线程数≥15000个、内存容量≥1</w:t>
      </w:r>
      <w:r>
        <w:rPr>
          <w:rFonts w:hint="eastAsia" w:asciiTheme="minorEastAsia" w:hAnsi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0TB、总</w:t>
      </w:r>
      <w:r>
        <w:rPr>
          <w:rFonts w:hint="eastAsia" w:asciiTheme="minorEastAsia" w:hAnsiTheme="minorEastAsia" w:cstheme="minorEastAsia"/>
          <w:color w:val="auto"/>
          <w:sz w:val="24"/>
          <w:szCs w:val="24"/>
          <w:lang w:eastAsia="zh-CN"/>
        </w:rPr>
        <w:t>可得</w:t>
      </w:r>
      <w:r>
        <w:rPr>
          <w:rFonts w:hint="eastAsia" w:asciiTheme="minorEastAsia" w:hAnsiTheme="minorEastAsia" w:eastAsiaTheme="minorEastAsia" w:cstheme="minorEastAsia"/>
          <w:color w:val="auto"/>
          <w:sz w:val="24"/>
          <w:szCs w:val="24"/>
        </w:rPr>
        <w:t>存储容量≥</w:t>
      </w: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5PB，满足采购人各生产系统运行的云环境要求，以及服务期内业务系统</w:t>
      </w:r>
      <w:r>
        <w:rPr>
          <w:rFonts w:hint="eastAsia" w:asciiTheme="minorEastAsia" w:hAnsiTheme="minorEastAsia" w:cstheme="minorEastAsia"/>
          <w:color w:val="auto"/>
          <w:sz w:val="24"/>
          <w:szCs w:val="24"/>
          <w:lang w:eastAsia="zh-CN"/>
        </w:rPr>
        <w:t>安全可靠适配</w:t>
      </w:r>
      <w:r>
        <w:rPr>
          <w:rFonts w:hint="eastAsia" w:asciiTheme="minorEastAsia" w:hAnsiTheme="minorEastAsia" w:eastAsiaTheme="minorEastAsia" w:cstheme="minorEastAsia"/>
          <w:color w:val="auto"/>
          <w:sz w:val="24"/>
          <w:szCs w:val="24"/>
        </w:rPr>
        <w:t>改造和测试的资源要求。为保障公安业务的高可靠运行，投标人须根据业务增长情况及时提供应急动态资源，确保备份存储等相关资源使用率不超过70%。投标人须将完成上述工作所需的搬迁、布线、迁移工具、硬件配件、人工、耗材及软件等全部资源与服务费用，全额包含在投标总价中。投标人提供的数据备份服务的资源可纳入采购人自建云资源池统一计算。服务期满后，该自建云资源池归采购人所有。</w:t>
      </w:r>
    </w:p>
    <w:p w14:paraId="4AF6C035">
      <w:pPr>
        <w:pStyle w:val="10"/>
        <w:numPr>
          <w:ilvl w:val="0"/>
          <w:numId w:val="0"/>
        </w:num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投标人提供的数据备份服务存储为分布式存储，支持块、对象和文件存储，支持任意两个节点故障数据不丢失；</w:t>
      </w:r>
    </w:p>
    <w:p w14:paraId="28E6011C">
      <w:pPr>
        <w:pStyle w:val="10"/>
        <w:numPr>
          <w:ilvl w:val="0"/>
          <w:numId w:val="0"/>
        </w:num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数据备份支持华为云平台、深信服超融合、华为虚拟化、品高云、人大金仓、达梦数据库、Oracle、MySQL、MongoDB、PostgreSQL、GaussDB、OceanBase、文件系统等。</w:t>
      </w:r>
    </w:p>
    <w:p w14:paraId="39B1D8AB">
      <w:pPr>
        <w:pStyle w:val="10"/>
        <w:numPr>
          <w:ilvl w:val="0"/>
          <w:numId w:val="0"/>
        </w:num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数据备份时，除了第一次获取的是应用的全量数据，以后只需要获取增量数据，增量数据在系统内合成一份新的全量数据，无需在恢复时再进行合成。</w:t>
      </w:r>
    </w:p>
    <w:p w14:paraId="37E017AC">
      <w:pPr>
        <w:pStyle w:val="10"/>
        <w:numPr>
          <w:ilvl w:val="0"/>
          <w:numId w:val="0"/>
        </w:num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备份数据可以直接挂载和虚拟化使用，实现容灾和容灾演练。当生产系统出现问题，需要恢复时，获取数据可直接挂载给服务器，实现基于任一时间点的挂载恢复，而不需要将数据恢复到原生产存储。</w:t>
      </w:r>
    </w:p>
    <w:p w14:paraId="395E8A58">
      <w:pPr>
        <w:pStyle w:val="10"/>
        <w:numPr>
          <w:ilvl w:val="0"/>
          <w:numId w:val="0"/>
        </w:num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投标人须每天对备份情况自动汇总分析。</w:t>
      </w:r>
    </w:p>
    <w:p w14:paraId="12C95968">
      <w:pPr>
        <w:pStyle w:val="10"/>
        <w:numPr>
          <w:ilvl w:val="0"/>
          <w:numId w:val="0"/>
        </w:numPr>
        <w:spacing w:line="360" w:lineRule="auto"/>
        <w:ind w:firstLine="482" w:firstLineChars="200"/>
        <w:jc w:val="both"/>
        <w:outlineLvl w:val="3"/>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eastAsia="zh-CN"/>
        </w:rPr>
        <w:t>（五）</w:t>
      </w:r>
      <w:r>
        <w:rPr>
          <w:rFonts w:hint="eastAsia" w:asciiTheme="minorEastAsia" w:hAnsiTheme="minorEastAsia" w:eastAsiaTheme="minorEastAsia" w:cstheme="minorEastAsia"/>
          <w:b/>
          <w:color w:val="auto"/>
          <w:sz w:val="24"/>
          <w:szCs w:val="24"/>
        </w:rPr>
        <w:t>应用软件维护部分</w:t>
      </w:r>
    </w:p>
    <w:p w14:paraId="4D1ED9CC">
      <w:pPr>
        <w:pStyle w:val="10"/>
        <w:numPr>
          <w:ilvl w:val="0"/>
          <w:numId w:val="0"/>
        </w:numPr>
        <w:spacing w:line="360" w:lineRule="auto"/>
        <w:ind w:firstLine="482"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1.</w:t>
      </w:r>
      <w:r>
        <w:rPr>
          <w:rFonts w:hint="eastAsia" w:asciiTheme="minorEastAsia" w:hAnsiTheme="minorEastAsia" w:eastAsiaTheme="minorEastAsia" w:cstheme="minorEastAsia"/>
          <w:b/>
          <w:color w:val="auto"/>
          <w:sz w:val="24"/>
          <w:szCs w:val="24"/>
        </w:rPr>
        <w:t>人员服务要求</w:t>
      </w:r>
    </w:p>
    <w:p w14:paraId="3C5672A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投标人应组织水平精湛，经验丰富的技术团队提供项目整体服务，负责日常的管理和维护，保障采购人所需维护的相关系统正常、稳定、高效运行。必须针对本项目安排至少</w:t>
      </w: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名具备3年以上相关系统维护经验技术维护工程师现场负责</w:t>
      </w:r>
      <w:r>
        <w:rPr>
          <w:rFonts w:hint="eastAsia" w:asciiTheme="minorEastAsia" w:hAnsi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rPr>
        <w:t>过保应用软件的运行维护和故障响应服务工作。在重大活动安保期间增加相应技术人员进行24小时现场值守服务。</w:t>
      </w:r>
    </w:p>
    <w:p w14:paraId="2BDA5BB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由采购人对现场技术维护工程师进行工作分配、考勤和日常管理。</w:t>
      </w:r>
    </w:p>
    <w:p w14:paraId="347672F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重大安保及重要节假日期间，投标人应根据采购人要求，增派人员开展工作。</w:t>
      </w:r>
    </w:p>
    <w:p w14:paraId="50CC3171">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2.</w:t>
      </w:r>
      <w:r>
        <w:rPr>
          <w:rFonts w:hint="eastAsia" w:asciiTheme="minorEastAsia" w:hAnsiTheme="minorEastAsia" w:eastAsiaTheme="minorEastAsia" w:cstheme="minorEastAsia"/>
          <w:b/>
          <w:color w:val="auto"/>
          <w:sz w:val="24"/>
          <w:szCs w:val="24"/>
        </w:rPr>
        <w:t>应急演练要求</w:t>
      </w:r>
    </w:p>
    <w:p w14:paraId="3675B33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整体应急方案制定：投标人必须在合同签订后1个月内根据采购人的实际情况做出一份完整可行的应急预案。</w:t>
      </w:r>
    </w:p>
    <w:p w14:paraId="71EBE75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应急方案演练周期：投标人必须根据采购人要求，每半年进行一次应急方案演练。</w:t>
      </w:r>
    </w:p>
    <w:p w14:paraId="16E1F9A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应急方案演练系统：投标人可根据业务系统的重要等级，任意选取1-2个典型业务系统，投标人根据采购人所选取的业务系统进行应急方案演练。</w:t>
      </w:r>
    </w:p>
    <w:p w14:paraId="72BB3B3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4</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应急演练环境准备：投标人应根据采购人要求，进行应急演练的环境部署，由投标人提供相应的软件基础架构资源。</w:t>
      </w:r>
    </w:p>
    <w:p w14:paraId="075AEE6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5</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应急方案编写要求：投标人制定的应急演练方案，须基于对所演练系统的详细调研记录，所有操作需在同等环境中进行过验证。投标人提供的应急演练方案须经过内部专家团队评审后，提交采购人进行审核，投标人须保证提供的应急演练方案的技术上的安全性，并对应急演练所产生的后果承担全部责任。投标人应急演练方案中，须包括系统现状描述、应急操作人员安排、应急环境准备、应急操作步骤及时间计划、演练回退措施、风险规避措施等。</w:t>
      </w:r>
    </w:p>
    <w:p w14:paraId="6D199DA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6</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应急演练要求：投标人须切实根据应急演练方案步骤进行应急演练，如出现较大偏差，投标人须重新制定应急方案，并再次进行应急演练，直至应急演练取得预期效果。</w:t>
      </w:r>
    </w:p>
    <w:p w14:paraId="002EC0D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7</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应急方案的变更：如投标人系统发生重大变更，投标人应根据系统变更情况重新制定应急演练方案，并进行技术可行论证。</w:t>
      </w:r>
    </w:p>
    <w:p w14:paraId="19FFD509">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3.</w:t>
      </w:r>
      <w:r>
        <w:rPr>
          <w:rFonts w:hint="eastAsia" w:asciiTheme="minorEastAsia" w:hAnsiTheme="minorEastAsia" w:eastAsiaTheme="minorEastAsia" w:cstheme="minorEastAsia"/>
          <w:b/>
          <w:color w:val="auto"/>
          <w:sz w:val="24"/>
          <w:szCs w:val="24"/>
        </w:rPr>
        <w:t>巡检服务要求</w:t>
      </w:r>
    </w:p>
    <w:p w14:paraId="06F81B2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提供每日例行巡检，及时发现问题和保证数据同步。巡检内容包括但不限于系统正常运行率检查、业务数据情况检查、业务传输检查、安全情况检查，以及采购人根据业务需要新增的检查等。</w:t>
      </w:r>
    </w:p>
    <w:p w14:paraId="3477B2D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提供每月1次系统全面深度巡检及调优服务，并出具详细巡检报告。</w:t>
      </w:r>
    </w:p>
    <w:p w14:paraId="3C5ACC0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后台资深工程师技术支持服务，每月开展主动性的维护服务，保障服务质量。</w:t>
      </w:r>
    </w:p>
    <w:p w14:paraId="7C49DB7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4</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服务期内</w:t>
      </w:r>
      <w:r>
        <w:rPr>
          <w:rFonts w:hint="eastAsia" w:asciiTheme="minorEastAsia" w:hAnsiTheme="minorEastAsia" w:eastAsiaTheme="minorEastAsia" w:cstheme="minorEastAsia"/>
          <w:color w:val="auto"/>
          <w:sz w:val="24"/>
          <w:szCs w:val="24"/>
        </w:rPr>
        <w:t>提供一次全省1：5000比例尺矢量电子地图数据更新服务，按需完成二、三维地图数据处理及发布，保障全省地图联网服务的稳定运行。</w:t>
      </w:r>
    </w:p>
    <w:p w14:paraId="34E5906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针对每次巡检、响应性维护，投标人需提供详细的巡检报告、工作处置报告单（记录问题描述、问题原因、问题分析、解决措施、处置提出时间、工作开始时间、工作完成时间、维护人员、完成情况等）。</w:t>
      </w:r>
    </w:p>
    <w:p w14:paraId="3C69999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投标人应在每月5日前向采购人提交上个月巡检报告。巡检报告的内容应至少包括平台运行状态、存在问题、改进及优化建议。</w:t>
      </w:r>
    </w:p>
    <w:p w14:paraId="6D4E431F">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4.质</w:t>
      </w:r>
      <w:r>
        <w:rPr>
          <w:rFonts w:hint="default" w:asciiTheme="minorEastAsia" w:hAnsiTheme="minorEastAsia" w:eastAsiaTheme="minorEastAsia" w:cstheme="minorEastAsia"/>
          <w:b/>
          <w:color w:val="auto"/>
          <w:sz w:val="24"/>
          <w:szCs w:val="24"/>
          <w:lang w:eastAsia="zh-CN"/>
        </w:rPr>
        <w:t>量管理</w:t>
      </w:r>
      <w:r>
        <w:rPr>
          <w:rFonts w:hint="eastAsia" w:asciiTheme="minorEastAsia" w:hAnsiTheme="minorEastAsia" w:eastAsiaTheme="minorEastAsia" w:cstheme="minorEastAsia"/>
          <w:b/>
          <w:color w:val="auto"/>
          <w:sz w:val="24"/>
          <w:szCs w:val="24"/>
        </w:rPr>
        <w:t>要求</w:t>
      </w:r>
    </w:p>
    <w:p w14:paraId="433295E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配合采购人对所需维护的相关系统开展性能调优工作，并协助用户进行优化分析；对相关服务器的操作系统、中间件、数据库等进行版本升级、系统优化、漏洞补丁、安全处置等工作；提供7×24小时售后服务，远程或现场的在线响应时限不超过1小时。</w:t>
      </w:r>
    </w:p>
    <w:p w14:paraId="17712FF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对采购人所需维护的相关系统提供调度节点安装、变更、集群部署，以及其它业务需求上的技术支持服务，同时提供服务方系统改造技术支持服务。</w:t>
      </w:r>
    </w:p>
    <w:p w14:paraId="0C17BE2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提供采购人所需维护的相关系统在全省的技术支持工作，对出现的问题协助解决。</w:t>
      </w:r>
    </w:p>
    <w:p w14:paraId="7429C00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4</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确保采购人所需维护的相关系统在上级的运管考核中不丢分，如上级系统进行升级调整或采购人的系统架构调整，投标人应及时对采购人所需运维的系统进行相应的升级或调整，确保完全适配上级要求。</w:t>
      </w:r>
    </w:p>
    <w:p w14:paraId="3356F1A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5</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采购人对机房硬件、网络、数据库、安全设备等支撑层进行升级或调整时，投标人应及时对采购人所需维护的相关系统进行相应的升级或调整，确保系统正常运行。</w:t>
      </w:r>
    </w:p>
    <w:p w14:paraId="0C6C938F">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5.</w:t>
      </w:r>
      <w:r>
        <w:rPr>
          <w:rFonts w:hint="eastAsia" w:asciiTheme="minorEastAsia" w:hAnsiTheme="minorEastAsia" w:eastAsiaTheme="minorEastAsia" w:cstheme="minorEastAsia"/>
          <w:b/>
          <w:color w:val="auto"/>
          <w:sz w:val="24"/>
          <w:szCs w:val="24"/>
        </w:rPr>
        <w:t>文档交付要求</w:t>
      </w:r>
    </w:p>
    <w:p w14:paraId="653520E2">
      <w:pPr>
        <w:pStyle w:val="10"/>
        <w:spacing w:line="360" w:lineRule="auto"/>
        <w:ind w:left="15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按服务要求的时间和实际服务情况提供《系统巡检记录》（每日）和《系统巡检报告》（每月）、《运行状况分析报告》（每季度）等项目服务文档的。本项目维保系统发生故障时，投标人向采购人提供《工作处置报告单》。</w:t>
      </w:r>
    </w:p>
    <w:p w14:paraId="5EDF0B6D">
      <w:pPr>
        <w:pStyle w:val="10"/>
        <w:spacing w:line="360" w:lineRule="auto"/>
        <w:ind w:left="15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投标人采用派发《任务工单》形式，对采购人提出符合合同的服务任务，并记录任务的完成情况。</w:t>
      </w:r>
    </w:p>
    <w:p w14:paraId="240C3E60">
      <w:pPr>
        <w:pStyle w:val="10"/>
        <w:spacing w:line="360" w:lineRule="auto"/>
        <w:ind w:left="15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《系统巡检记录》（每日）、《系统巡检报告》（每月）、《运行状况分析报告》（每季度）、《工作处置报告单》和《任务工单》作为验收的凭据之一。</w:t>
      </w:r>
    </w:p>
    <w:p w14:paraId="6DB0226C">
      <w:pPr>
        <w:pStyle w:val="10"/>
        <w:spacing w:line="360" w:lineRule="auto"/>
        <w:ind w:left="15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4</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应急演练完成后应形成《演练报告》，该报告作为验收凭据之一。</w:t>
      </w:r>
    </w:p>
    <w:p w14:paraId="366714A5">
      <w:pPr>
        <w:pStyle w:val="10"/>
        <w:spacing w:line="360" w:lineRule="auto"/>
        <w:ind w:left="15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5</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运维类文档：含但不限于数据运维类文档、平台升级类运维文档、值班文档、重大复杂性强的变更数据文档等。</w:t>
      </w:r>
    </w:p>
    <w:p w14:paraId="064C1365">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6.</w:t>
      </w:r>
      <w:r>
        <w:rPr>
          <w:rFonts w:hint="eastAsia" w:asciiTheme="minorEastAsia" w:hAnsiTheme="minorEastAsia" w:eastAsiaTheme="minorEastAsia" w:cstheme="minorEastAsia"/>
          <w:b/>
          <w:color w:val="auto"/>
          <w:sz w:val="24"/>
          <w:szCs w:val="24"/>
        </w:rPr>
        <w:t>运维安全要求</w:t>
      </w:r>
    </w:p>
    <w:p w14:paraId="26B9B30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投标人现场技术服务团队应按照采购人相关安全管理规定开展日常工作，并签订《保密承诺书》等与安全相关的文件。</w:t>
      </w:r>
    </w:p>
    <w:p w14:paraId="44203B77">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7.</w:t>
      </w:r>
      <w:r>
        <w:rPr>
          <w:rFonts w:hint="eastAsia" w:asciiTheme="minorEastAsia" w:hAnsiTheme="minorEastAsia" w:eastAsiaTheme="minorEastAsia" w:cstheme="minorEastAsia"/>
          <w:b/>
          <w:color w:val="auto"/>
          <w:sz w:val="24"/>
          <w:szCs w:val="24"/>
        </w:rPr>
        <w:t>其他要求</w:t>
      </w:r>
    </w:p>
    <w:p w14:paraId="4406338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投标人需提供运维技术和服务要求中所需的相应服务内容，若因投标人技术方案不合理或其报价清单遗漏维保及技术支持所必需的服务，导致无法满足用户实际需求的，则所必需的服务也应由投标人无偿提供。</w:t>
      </w:r>
    </w:p>
    <w:p w14:paraId="00633AD6">
      <w:pPr>
        <w:pStyle w:val="10"/>
        <w:numPr>
          <w:ilvl w:val="0"/>
          <w:numId w:val="0"/>
        </w:numPr>
        <w:spacing w:line="360" w:lineRule="auto"/>
        <w:ind w:firstLine="482" w:firstLineChars="200"/>
        <w:outlineLvl w:val="3"/>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eastAsia="zh-CN"/>
        </w:rPr>
        <w:t>（六）</w:t>
      </w:r>
      <w:r>
        <w:rPr>
          <w:rFonts w:hint="eastAsia" w:asciiTheme="minorEastAsia" w:hAnsiTheme="minorEastAsia" w:eastAsiaTheme="minorEastAsia" w:cstheme="minorEastAsia"/>
          <w:b/>
          <w:color w:val="auto"/>
          <w:sz w:val="24"/>
          <w:szCs w:val="24"/>
        </w:rPr>
        <w:t>社会化安全服务部分</w:t>
      </w:r>
    </w:p>
    <w:p w14:paraId="1409793E">
      <w:pPr>
        <w:pStyle w:val="10"/>
        <w:numPr>
          <w:ilvl w:val="0"/>
          <w:numId w:val="0"/>
        </w:numPr>
        <w:spacing w:line="360" w:lineRule="auto"/>
        <w:ind w:firstLine="482"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1.</w:t>
      </w:r>
      <w:r>
        <w:rPr>
          <w:rFonts w:hint="eastAsia" w:asciiTheme="minorEastAsia" w:hAnsiTheme="minorEastAsia" w:eastAsiaTheme="minorEastAsia" w:cstheme="minorEastAsia"/>
          <w:b/>
          <w:color w:val="auto"/>
          <w:sz w:val="24"/>
          <w:szCs w:val="24"/>
        </w:rPr>
        <w:t>总体服务要求</w:t>
      </w:r>
    </w:p>
    <w:p w14:paraId="3D6A929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要求对采购人公安网络（公安信息网、视频专网、移动信息网、大数据域、公安互联网）上运行业务系统、数据提供相关公安网络数据安全风险及事务运维监管服务工作，保障采购人整体业务网络及数据安全。</w:t>
      </w:r>
    </w:p>
    <w:p w14:paraId="13E6A674">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2.</w:t>
      </w:r>
      <w:r>
        <w:rPr>
          <w:rFonts w:hint="eastAsia" w:asciiTheme="minorEastAsia" w:hAnsiTheme="minorEastAsia" w:eastAsiaTheme="minorEastAsia" w:cstheme="minorEastAsia"/>
          <w:b/>
          <w:color w:val="auto"/>
          <w:sz w:val="24"/>
          <w:szCs w:val="24"/>
        </w:rPr>
        <w:t>人员要求</w:t>
      </w:r>
    </w:p>
    <w:p w14:paraId="0812F083">
      <w:pPr>
        <w:pStyle w:val="10"/>
        <w:spacing w:before="105" w:after="105"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）日常监测及巡检</w:t>
      </w:r>
    </w:p>
    <w:p w14:paraId="6A75550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提供1名安全现场技术运维工程师，提供5×8小时现场技术运维服务，7×24小时的应急响应服务，建立应急响应机制，在非现场技术时间接到采购人应急响应需求后，7小时内到达现场。</w:t>
      </w:r>
    </w:p>
    <w:p w14:paraId="62E215FC">
      <w:pPr>
        <w:pStyle w:val="10"/>
        <w:spacing w:before="105" w:after="105"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）日常安全保障与响应</w:t>
      </w:r>
    </w:p>
    <w:p w14:paraId="3C52BFB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提供1名安全现场技术运维工程师，提供5×8小时现场技术运维服务，7×24小时的应急响应服务，建立应急响应机制，在非现场技术时间接到采购人应急响应需求后，7小时内到达现场。</w:t>
      </w:r>
    </w:p>
    <w:p w14:paraId="7ECD78C9">
      <w:pPr>
        <w:pStyle w:val="10"/>
        <w:spacing w:before="105" w:after="105"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）日常数据安全保障</w:t>
      </w:r>
    </w:p>
    <w:p w14:paraId="46E365D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提供2名安全现场技术运维工程师，提供5×8小时现场技术运维服务，7×24小时的应急响应服务，建立应急响应机制，在非现场技术时间接到采购人应急响应需求后，7小时内到达现场。</w:t>
      </w:r>
    </w:p>
    <w:p w14:paraId="11A4C66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以上工作可兼任，但投标人安排现场技术运维工程师不得少于3人。</w:t>
      </w:r>
    </w:p>
    <w:p w14:paraId="24F0BC7C">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3.</w:t>
      </w:r>
      <w:r>
        <w:rPr>
          <w:rFonts w:hint="eastAsia" w:asciiTheme="minorEastAsia" w:hAnsiTheme="minorEastAsia" w:eastAsiaTheme="minorEastAsia" w:cstheme="minorEastAsia"/>
          <w:b/>
          <w:color w:val="auto"/>
          <w:sz w:val="24"/>
          <w:szCs w:val="24"/>
        </w:rPr>
        <w:t>主要服务内容及要求</w:t>
      </w:r>
    </w:p>
    <w:p w14:paraId="6F90FE80">
      <w:pPr>
        <w:pStyle w:val="10"/>
        <w:spacing w:before="105" w:after="105"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）安全监测服务</w:t>
      </w:r>
    </w:p>
    <w:p w14:paraId="13F05AE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网络安全监测与处置</w:t>
      </w:r>
    </w:p>
    <w:p w14:paraId="7166FC6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采购人本级网络的流量和安全设备（包括但不限于态势感知平台、edr、防火墙、安全探针等）的各类安全事件告警进行实时监测和分析，快速发现其中的潜在网络安全风险，对网络攻击的入侵途径及攻击者背景的研判与溯源，对受害目标及攻击源头进行精准定位，按处置流程要求处置并形成安全事件，对安全风险进行闭环管理。</w:t>
      </w:r>
    </w:p>
    <w:p w14:paraId="574E2A1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信息系统安全监测与处置</w:t>
      </w:r>
    </w:p>
    <w:p w14:paraId="7CC805F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风险流量监测处置。对采购人本级信息系统的各类安全事件告警进行实时监测和分析，快速发现其中的潜在网络安全风险，对网络攻击的入侵途径及攻击者背景的研判与溯源，对受害目标及攻击源头进行精准定位，按处置流程要求处置并形成安全事件，对安全风险进行闭环管理。针对网站及系统的漏洞、篡改、挂马、暗链、敏感信息等入侵行进行监控，及时做出告警，并且在安全事件发生后1小时内必须进行处置。</w:t>
      </w:r>
    </w:p>
    <w:p w14:paraId="5B9D1CA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厅互联网系统重点防护</w:t>
      </w:r>
    </w:p>
    <w:p w14:paraId="283BF44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①</w:t>
      </w:r>
      <w:r>
        <w:rPr>
          <w:rFonts w:hint="eastAsia" w:asciiTheme="minorEastAsia" w:hAnsiTheme="minorEastAsia" w:eastAsiaTheme="minorEastAsia" w:cstheme="minorEastAsia"/>
          <w:color w:val="auto"/>
          <w:sz w:val="24"/>
          <w:szCs w:val="24"/>
        </w:rPr>
        <w:t>安全监测服务</w:t>
      </w:r>
    </w:p>
    <w:p w14:paraId="6689CA14">
      <w:pPr>
        <w:pStyle w:val="10"/>
        <w:spacing w:line="360" w:lineRule="auto"/>
        <w:ind w:firstLine="48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向采购人提供针对厅级重点的公安互联网门户及业务系统提供安全监测，主要包括</w:t>
      </w:r>
      <w:r>
        <w:rPr>
          <w:rFonts w:hint="eastAsia" w:asciiTheme="minorEastAsia" w:hAnsiTheme="minorEastAsia" w:cstheme="minorEastAsia"/>
          <w:color w:val="auto"/>
          <w:sz w:val="24"/>
          <w:szCs w:val="24"/>
          <w:lang w:eastAsia="zh-CN"/>
        </w:rPr>
        <w:t>：</w:t>
      </w:r>
    </w:p>
    <w:p w14:paraId="190B253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a.</w:t>
      </w:r>
      <w:r>
        <w:rPr>
          <w:rFonts w:hint="eastAsia" w:asciiTheme="minorEastAsia" w:hAnsiTheme="minorEastAsia" w:eastAsiaTheme="minorEastAsia" w:cstheme="minorEastAsia"/>
          <w:color w:val="auto"/>
          <w:sz w:val="24"/>
          <w:szCs w:val="24"/>
        </w:rPr>
        <w:t>漏洞扫描：在重要时期及重大节日对厅级重点的公安互联网门户及业务系统进行漏洞扫描，发现高危安全漏洞及弱口令，及时发现安全隐患。</w:t>
      </w:r>
    </w:p>
    <w:p w14:paraId="09BE6B0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b.</w:t>
      </w:r>
      <w:r>
        <w:rPr>
          <w:rFonts w:hint="eastAsia" w:asciiTheme="minorEastAsia" w:hAnsiTheme="minorEastAsia" w:eastAsiaTheme="minorEastAsia" w:cstheme="minorEastAsia"/>
          <w:color w:val="auto"/>
          <w:sz w:val="24"/>
          <w:szCs w:val="24"/>
        </w:rPr>
        <w:t>红方测试：在重要时期及重大节日模拟红方攻击手法对厅级重点的公安互联网门户及业务系统进行渗透测试，全面发现厅级重点的公安互联网门户及业务系统安全威胁。</w:t>
      </w:r>
    </w:p>
    <w:p w14:paraId="78B407E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②.</w:t>
      </w:r>
      <w:r>
        <w:rPr>
          <w:rFonts w:hint="eastAsia" w:asciiTheme="minorEastAsia" w:hAnsiTheme="minorEastAsia" w:eastAsiaTheme="minorEastAsia" w:cstheme="minorEastAsia"/>
          <w:color w:val="auto"/>
          <w:sz w:val="24"/>
          <w:szCs w:val="24"/>
        </w:rPr>
        <w:t>引流应急服务</w:t>
      </w:r>
    </w:p>
    <w:p w14:paraId="07A5624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针对互联网网站安全需求，在采购人互联网安全防御措施失效等紧急状况时，及时引流至安全云平台，应急期间提供针对厅级重点的公安互联网门户及业务系统7×24小时对网站的引流应急服务，能够实时检测并记录违反安全策略的行为和异常现象，提供WEB防火墙、DDOS攻击保护等功能。</w:t>
      </w:r>
    </w:p>
    <w:p w14:paraId="1716CFC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安全事件应急响应服务</w:t>
      </w:r>
    </w:p>
    <w:p w14:paraId="5658F71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协助采购人对全省安全事件进行实时监测；配合采购人及时签收、通报、反馈公安部等上级通报的各类安全事件（包括不限于各网一机两用、违规直连、数据泄漏、网络入侵等安全事件）；及时对厅本级安全事件进行技术调查、取证、整改；及时追踪、督促、核实设区市公安和厅机关的完成安全事件的签收、处置、反馈情况；及时向采购人报告安全事件进展和处置情况。每月协助采购人开展对上个月发生的安全事件统计分析工作，形成《安全事件月统计表》及年终形成《安全事件年终统计表》。</w:t>
      </w:r>
    </w:p>
    <w:p w14:paraId="4423C12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一般违规事件：发生“一机两用”违规外联、串线、私建边界、直连、违规软件、信息外泄、违规查询等尚未造成严重后果视为一般违规事件。</w:t>
      </w:r>
    </w:p>
    <w:p w14:paraId="0258ED2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较大公安网络和信息安全事件：发生入侵公安网络及系统、数据盗取或非法篡改删除、违规查询造成重大后果以及其他对公安网安全造成危害或引发影响的较严重安全事件。</w:t>
      </w:r>
    </w:p>
    <w:p w14:paraId="7EB73229">
      <w:pPr>
        <w:pStyle w:val="10"/>
        <w:spacing w:before="105" w:after="105"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）安全分析服务</w:t>
      </w:r>
    </w:p>
    <w:p w14:paraId="54A5E59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为了完善应用行为数据的审计与防护，提升对违规使用公安数据行为的监测分析预警能力，开展数据违规使用的专项整治，安全服务团队提供以下服务：</w:t>
      </w:r>
    </w:p>
    <w:p w14:paraId="638CE7A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安全数据分析服务</w:t>
      </w:r>
    </w:p>
    <w:p w14:paraId="16A672E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①</w:t>
      </w:r>
      <w:r>
        <w:rPr>
          <w:rFonts w:hint="eastAsia" w:asciiTheme="minorEastAsia" w:hAnsiTheme="minorEastAsia" w:eastAsiaTheme="minorEastAsia" w:cstheme="minorEastAsia"/>
          <w:color w:val="auto"/>
          <w:sz w:val="24"/>
          <w:szCs w:val="24"/>
        </w:rPr>
        <w:t>日志对接服务</w:t>
      </w:r>
    </w:p>
    <w:p w14:paraId="02B4965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a.</w:t>
      </w:r>
      <w:r>
        <w:rPr>
          <w:rFonts w:hint="eastAsia" w:asciiTheme="minorEastAsia" w:hAnsiTheme="minorEastAsia" w:eastAsiaTheme="minorEastAsia" w:cstheme="minorEastAsia"/>
          <w:color w:val="auto"/>
          <w:sz w:val="24"/>
          <w:szCs w:val="24"/>
        </w:rPr>
        <w:t>制定应用日志接入标准</w:t>
      </w:r>
    </w:p>
    <w:p w14:paraId="7D6FAB7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团队通过对采购人公安网络应对接应用的研究勘查，结合公安的应用特点，针对性输出各应用的日志采集要求规范，至少包括对需要记录日志的场景、规范格式的字段、输出内容等，确保应用对接后采集到的日志数据覆盖应用涉及的全操作行为、全数据字段。</w:t>
      </w:r>
    </w:p>
    <w:p w14:paraId="73A7EA1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依据应用日志数据采集标准，制定新上线应用系统日志数据接入管理流程，投标人应对接应用给与指导性的标准规范，确保各应用按标准规范进行日志数据接入。</w:t>
      </w:r>
    </w:p>
    <w:p w14:paraId="4C6B69E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b.</w:t>
      </w:r>
      <w:r>
        <w:rPr>
          <w:rFonts w:hint="eastAsia" w:asciiTheme="minorEastAsia" w:hAnsiTheme="minorEastAsia" w:eastAsiaTheme="minorEastAsia" w:cstheme="minorEastAsia"/>
          <w:color w:val="auto"/>
          <w:sz w:val="24"/>
          <w:szCs w:val="24"/>
        </w:rPr>
        <w:t>应用日志数据对接服务</w:t>
      </w:r>
    </w:p>
    <w:p w14:paraId="76F2BBC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对全省接入的应用日志数据提供对接入上级或本级平台应用备案指导、对应用日志数据可读性、完整性等可读性解析服务，日志接口对接等指导服务，确保公安网络应对接的应用按规范有序对接。对存在接入日志不完整、不规范的信息系统进行通报。</w:t>
      </w:r>
    </w:p>
    <w:p w14:paraId="0D8E7C7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②</w:t>
      </w:r>
      <w:r>
        <w:rPr>
          <w:rFonts w:hint="eastAsia" w:asciiTheme="minorEastAsia" w:hAnsiTheme="minorEastAsia" w:eastAsiaTheme="minorEastAsia" w:cstheme="minorEastAsia"/>
          <w:color w:val="auto"/>
          <w:sz w:val="24"/>
          <w:szCs w:val="24"/>
        </w:rPr>
        <w:t>采集终端审计及访问部系统日志服务</w:t>
      </w:r>
    </w:p>
    <w:p w14:paraId="156C062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全省公安信息网终端行为采集服务，在终端不增加新客户端的情况下，实现终端URL访问、数字证书接入/移除、移动存储使用、终端复制黏贴等操作行为的监控与审计，并提供全省终端访问部级重要信息系统的应用访问及查询的采集审计能力(其中应包含福建省公安民警在福建公安网内访问公安部各类重要信息系统等重要应用的日志记录)，完善福建公安应用行为监控数据来源。</w:t>
      </w:r>
    </w:p>
    <w:p w14:paraId="27A2230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③</w:t>
      </w:r>
      <w:r>
        <w:rPr>
          <w:rFonts w:hint="eastAsia" w:asciiTheme="minorEastAsia" w:hAnsiTheme="minorEastAsia" w:eastAsiaTheme="minorEastAsia" w:cstheme="minorEastAsia"/>
          <w:color w:val="auto"/>
          <w:sz w:val="24"/>
          <w:szCs w:val="24"/>
        </w:rPr>
        <w:t>数据质量监测巡检服务</w:t>
      </w:r>
    </w:p>
    <w:p w14:paraId="73B9BA7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针对终端操作行为、上网行为、访问部云搜八大资源库等系统日志等采集的数据进行运维保障，保证采集的数据信息完整、鲜活和有效性。</w:t>
      </w:r>
    </w:p>
    <w:p w14:paraId="60C3532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提供对应用日志数据接入进行监测，确保稳定性，接入规范性，完整性，可读性，当发现日志数据异常时，研判异常现象真实性和原因，并通报相关单位及人员进行处置。</w:t>
      </w:r>
    </w:p>
    <w:p w14:paraId="6CC52CC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同时定期对应用系统的用户行为和应用间动态调用服务行为进行数据巡检，对接入的日志数据格式、内容、数量等进行分析，对异常及不完整数据，如日志记录中含有缺失身份证号码、操作时间、IP等任一关键字段的记录进行及时的通报处置，确保接入的数据有效性、完整性、合规性。</w:t>
      </w:r>
    </w:p>
    <w:p w14:paraId="56F9130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于数据安全事件，服务团队提供应急处置服务，根据数据安全事件类别，协助用户对遇到的突发性数据安全事件进行紧急处置、事后分析和溯源，确保应用行为数据留存不低于3年或更长时间，且RTO=12小时、RPO=24小时。</w:t>
      </w:r>
    </w:p>
    <w:p w14:paraId="489D138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④</w:t>
      </w:r>
      <w:r>
        <w:rPr>
          <w:rFonts w:hint="eastAsia" w:asciiTheme="minorEastAsia" w:hAnsiTheme="minorEastAsia" w:eastAsiaTheme="minorEastAsia" w:cstheme="minorEastAsia"/>
          <w:color w:val="auto"/>
          <w:sz w:val="24"/>
          <w:szCs w:val="24"/>
        </w:rPr>
        <w:t>应用统计分析服务</w:t>
      </w:r>
    </w:p>
    <w:p w14:paraId="67FD9BA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协助采购人对省级业务网络各类信息系统的使用情况进行统计，按照采购人对系统应用开展的统计的需求，对信息系统业务开展情况进行评估。</w:t>
      </w:r>
    </w:p>
    <w:p w14:paraId="769ACD4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⑤</w:t>
      </w:r>
      <w:r>
        <w:rPr>
          <w:rFonts w:hint="eastAsia" w:asciiTheme="minorEastAsia" w:hAnsiTheme="minorEastAsia" w:eastAsiaTheme="minorEastAsia" w:cstheme="minorEastAsia"/>
          <w:color w:val="auto"/>
          <w:sz w:val="24"/>
          <w:szCs w:val="24"/>
        </w:rPr>
        <w:t>违规使用公安信息数据建模及预警通报服务</w:t>
      </w:r>
    </w:p>
    <w:p w14:paraId="0DD0317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要求每季度通过对各类公安信息系统应用行为的分析，协助采购人对全省公安机关内部用户违规操作行为建立数据分析模型，结合公安机关业务特性，发现的疑似产生信息泄露风险的应用查询行为和人员。能够以警种、工作时间、地区等元素作为群体划分依据，对公安各警种的应用操作行为、操作轨迹、人员特征等多个维度数据进行分析，通过不同的模型挖掘出疑似异常的事件，并对其进行预警通报处置。</w:t>
      </w:r>
    </w:p>
    <w:p w14:paraId="6ED5C0F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此基础上扩展针对终端操作行为、公安数字身份使用行为、移动存储使用行为、上网行为等采集的数据进行有效模型建设和数据分析根据安全需求及时调整数据模型，对公安厅安全大数据资源库通过数据汇总、分类、关联、比对、标识、分析，每季度对产生的安全威胁进行实时分析及告警、形成通报，为全省的安全事件及异常行为检测、安全态势感知、运维管理和应用分析提供一个高效服务支撑。</w:t>
      </w:r>
    </w:p>
    <w:p w14:paraId="5776201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⑥</w:t>
      </w:r>
      <w:r>
        <w:rPr>
          <w:rFonts w:hint="eastAsia" w:asciiTheme="minorEastAsia" w:hAnsiTheme="minorEastAsia" w:eastAsiaTheme="minorEastAsia" w:cstheme="minorEastAsia"/>
          <w:color w:val="auto"/>
          <w:sz w:val="24"/>
          <w:szCs w:val="24"/>
        </w:rPr>
        <w:t>数据安全风险评估服务</w:t>
      </w:r>
    </w:p>
    <w:p w14:paraId="3D40544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公安信息系统中数据资产为核心对象，通过对系统发现、识别、梳理，帮助采购人构建完整的数据资产底账，借助敏感数据分析模型，自动识别敏感数据在系统内的分布，形成个人敏感数据清单，实现数据资产价值地刻画，进一步明确要保护数据对象。通过对公安信息系统数据库持续性监测，发现不合理安全基线配置和高危等漏洞，提出合理的解决方案，及时对安全配置进行修改、漏洞修补、安全加固等。</w:t>
      </w:r>
    </w:p>
    <w:p w14:paraId="05095BC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a.</w:t>
      </w:r>
      <w:r>
        <w:rPr>
          <w:rFonts w:hint="eastAsia" w:asciiTheme="minorEastAsia" w:hAnsiTheme="minorEastAsia" w:eastAsiaTheme="minorEastAsia" w:cstheme="minorEastAsia"/>
          <w:color w:val="auto"/>
          <w:sz w:val="24"/>
          <w:szCs w:val="24"/>
        </w:rPr>
        <w:t>数据库资产盘点</w:t>
      </w:r>
    </w:p>
    <w:p w14:paraId="59601E1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借助数据资产分析梳理工具为采购人提供数据资产盘点服务，该服务通过对公安信息系统发现、识别、梳理，帮助采购人梳理出系统中包含的数据库、实例、表、字段、账号等数据资产，以及描绘出各资产之间血缘关系，构建明确的、清晰的数据资产清单。</w:t>
      </w:r>
    </w:p>
    <w:p w14:paraId="162849C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b.</w:t>
      </w:r>
      <w:r>
        <w:rPr>
          <w:rFonts w:hint="eastAsia" w:asciiTheme="minorEastAsia" w:hAnsiTheme="minorEastAsia" w:eastAsiaTheme="minorEastAsia" w:cstheme="minorEastAsia"/>
          <w:color w:val="auto"/>
          <w:sz w:val="24"/>
          <w:szCs w:val="24"/>
        </w:rPr>
        <w:t>数据库系统脆弱性分析</w:t>
      </w:r>
    </w:p>
    <w:p w14:paraId="44E8D66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过“工具+人工”的方式对采购人数据库系统进行全面、深入的漏洞检测和安全基线配置核查，及时发现高危等漏洞和不合理的数据库安全配置基线，在此基础上，进一步开展对数据库中特权账号进行分析、是否超过最小权限原则，存在越权访问的风险，对发现的问题及时提出专业的安全解决方案和建议，辅助公安厅完成整改工作。</w:t>
      </w:r>
    </w:p>
    <w:p w14:paraId="1365596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c.</w:t>
      </w:r>
      <w:r>
        <w:rPr>
          <w:rFonts w:hint="eastAsia" w:asciiTheme="minorEastAsia" w:hAnsiTheme="minorEastAsia" w:eastAsiaTheme="minorEastAsia" w:cstheme="minorEastAsia"/>
          <w:color w:val="auto"/>
          <w:sz w:val="24"/>
          <w:szCs w:val="24"/>
        </w:rPr>
        <w:t>运维高危操作预警</w:t>
      </w:r>
    </w:p>
    <w:p w14:paraId="3A9B478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预定的白名单、黑名单对数据库的SQL操作合法性进行综合研判，形成数据库的外围防御圈，为SQL高危操作的主动预防、实时审计提供技术基础。系统管控的细粒度可以控制到表和列级，可以控制到各种数据库操作；同时可以精确控制到具体的语句，控制语句执行的时间，控制执行的阈值，对公安信息系统高危操作行为进行告警并审计日志留存。</w:t>
      </w:r>
    </w:p>
    <w:p w14:paraId="6F650D4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d.</w:t>
      </w:r>
      <w:r>
        <w:rPr>
          <w:rFonts w:hint="eastAsia" w:asciiTheme="minorEastAsia" w:hAnsiTheme="minorEastAsia" w:eastAsiaTheme="minorEastAsia" w:cstheme="minorEastAsia"/>
          <w:color w:val="auto"/>
          <w:sz w:val="24"/>
          <w:szCs w:val="24"/>
        </w:rPr>
        <w:t>运维越权访问预警</w:t>
      </w:r>
    </w:p>
    <w:p w14:paraId="44BE938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对公安信息系统数据库运维账号进行分类，对数据库账号分成业务数据库账号、系统数据库账号，明确账号的使用场景和访问权限，一旦发现账号进行越权访问，将及时产生告警信息。</w:t>
      </w:r>
    </w:p>
    <w:p w14:paraId="52A954A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e.</w:t>
      </w:r>
      <w:r>
        <w:rPr>
          <w:rFonts w:hint="eastAsia" w:asciiTheme="minorEastAsia" w:hAnsiTheme="minorEastAsia" w:eastAsiaTheme="minorEastAsia" w:cstheme="minorEastAsia"/>
          <w:color w:val="auto"/>
          <w:sz w:val="24"/>
          <w:szCs w:val="24"/>
        </w:rPr>
        <w:t>涉敏访问行为监测</w:t>
      </w:r>
    </w:p>
    <w:p w14:paraId="4C63321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对采购人数据访问行为进行持续监测，发现涉敏访问的异常行为，包括时间段异常、频次异常、地址异常、账号异常、无工单异常等，并进行告警。</w:t>
      </w:r>
    </w:p>
    <w:p w14:paraId="7AE0CDE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资产及暴露面探测</w:t>
      </w:r>
    </w:p>
    <w:p w14:paraId="40601BE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对采购人公安信息网络中的主机和应用资产信息探测梳理、资产暴露面分析等工作。主要通过探测分析掌握采购人公安网络中的存活资产形成资产库，实时监测资产变化，及时更新资产信息，结合扫描工具、安全设备、流量监测分析等手段对资产的暴露面进行分析，发现资产暴露面风险，通过风险处置的闭环管理，降低资产被攻击利用的风险。</w:t>
      </w:r>
    </w:p>
    <w:p w14:paraId="385F7BA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①</w:t>
      </w:r>
      <w:r>
        <w:rPr>
          <w:rFonts w:hint="eastAsia" w:asciiTheme="minorEastAsia" w:hAnsiTheme="minorEastAsia" w:eastAsiaTheme="minorEastAsia" w:cstheme="minorEastAsia"/>
          <w:color w:val="auto"/>
          <w:sz w:val="24"/>
          <w:szCs w:val="24"/>
        </w:rPr>
        <w:t>资产梳理</w:t>
      </w:r>
    </w:p>
    <w:p w14:paraId="42A60D9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保证对目标网络正常业务运行最低限度影响前提下，通过人工收集、扫描探测和流量采集等多种方法对采购人公安网络的资产进行存活探测、服务发现，梳理出主机资产和应用资产，整理完善资产ip、责任单位、责任人、所属系统名称、资产类型、url、开启的端口、开启的服务、网站服务、第三方组件、网站/状态、等保情况等资产信息，对资产进行分类管理，形成主机资产表和应用资产表，并实时监控资产的变化，跟踪维护资产信息，优化应用上线的资产登记流程。</w:t>
      </w:r>
    </w:p>
    <w:p w14:paraId="069DD78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协助采购人通过配套的“一机两用”系统、终端准入系统和应用注册系统等系统，梳理资产中未登记、未注册、非法设备等违规情况。</w:t>
      </w:r>
    </w:p>
    <w:p w14:paraId="1257915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②</w:t>
      </w:r>
      <w:r>
        <w:rPr>
          <w:rFonts w:hint="eastAsia" w:asciiTheme="minorEastAsia" w:hAnsiTheme="minorEastAsia" w:eastAsiaTheme="minorEastAsia" w:cstheme="minorEastAsia"/>
          <w:color w:val="auto"/>
          <w:sz w:val="24"/>
          <w:szCs w:val="24"/>
        </w:rPr>
        <w:t>暴露面分析</w:t>
      </w:r>
    </w:p>
    <w:p w14:paraId="71B6ABA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过扫描探测、安全设备配置等多种手段，分析公安网络中资产的暴露面风险，形成资产暴露面分析报告，提供减少暴露面风险的安全建议和安全策略。协助采购人通报相关责任单位落实整改，追踪整改落实情况，完成暴露面分险的闭环管理，降低资产暴露面风险。</w:t>
      </w:r>
    </w:p>
    <w:p w14:paraId="714081E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实战化渗透</w:t>
      </w:r>
    </w:p>
    <w:p w14:paraId="16299E0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获得授权的情况下，安排专业人员每季度定期对公安信息网络中的目标信息系统进行渗透性测试，以主流渗透工具结合自研的工具模拟黑客攻击为主要手段，发现往来安全漏洞风险，形成测试报告，提供修复建议，并结合采购人修复情况，协助采购人针对修复后的漏洞进行复测验证。</w:t>
      </w:r>
    </w:p>
    <w:p w14:paraId="08A1517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安全攻防演练服务</w:t>
      </w:r>
    </w:p>
    <w:p w14:paraId="273A48F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保障采购人公安网络和数据安全,进一步提升采购人公安信息系统及网络的安全防护和运行能力，完善网络安全应急处置机制，安全服务提供一年一次的全省攻防演练服务，包含整体攻防演练技术及红方、组织工作人员的人员支持等，以检验各区县维护下的关键信息基础设施与重点信息系统的安全防护综合水平，考核各区县网络安全的综合防御能力、协同作战能力、自检自查能力、应急响应能力。攻防演练结束后需提交《攻防演练全省复盘总结报告》并协助组织整改加固。</w:t>
      </w:r>
    </w:p>
    <w:p w14:paraId="6BB2B87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漏洞挖掘服务</w:t>
      </w:r>
    </w:p>
    <w:p w14:paraId="1B9828F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每季度针对采购人公安网络选取重要信息系统进行手工漏洞挖掘，抢在攻击者之前尽可能多地挖掘出当前采购人重要业务网络的信息系统中存在的漏洞。</w:t>
      </w:r>
    </w:p>
    <w:p w14:paraId="6E36E3C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）安全通报服务</w:t>
      </w:r>
    </w:p>
    <w:p w14:paraId="2491DA0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安全事件应急响应处置</w:t>
      </w:r>
    </w:p>
    <w:p w14:paraId="5C30EEE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安全专家技术团，对采购人省级公安网络（公安信息网、视频专网、移动信息网、大数据域、公安互联网）上运行的相关安全设备和业务系统的网络安全防护提供技术建议，对发生的安全事件提供事件的查处及取证上的协助。当发生外部黑客入侵、数据泄露、数据加密勒索等重大安全事件时，2小时内安排安全专家到场提供应急响应服务，提供包括事件检测与分析、风险抑制、问题处置、协助业务恢复、技术咨询等服务，最大化降低安全事件带来的影响，要求处置完成后提交事件处理报告。</w:t>
      </w:r>
    </w:p>
    <w:p w14:paraId="4F55CF9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公安信息安全态势报告</w:t>
      </w:r>
    </w:p>
    <w:p w14:paraId="2AA2B5C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①</w:t>
      </w:r>
      <w:r>
        <w:rPr>
          <w:rFonts w:hint="eastAsia" w:asciiTheme="minorEastAsia" w:hAnsiTheme="minorEastAsia" w:eastAsiaTheme="minorEastAsia" w:cstheme="minorEastAsia"/>
          <w:color w:val="auto"/>
          <w:sz w:val="24"/>
          <w:szCs w:val="24"/>
        </w:rPr>
        <w:t>安全状态总结报告</w:t>
      </w:r>
    </w:p>
    <w:p w14:paraId="682EE5C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对采购人公安信息网络安全状态提供定期数据统计、问题总结、概况分析等服务，并输出季度、年度公安信息网络整体的安全概况报告，分析存在风险并提供相应的整改和防范建议。</w:t>
      </w:r>
    </w:p>
    <w:p w14:paraId="3820390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②</w:t>
      </w:r>
      <w:r>
        <w:rPr>
          <w:rFonts w:hint="eastAsia" w:asciiTheme="minorEastAsia" w:hAnsiTheme="minorEastAsia" w:eastAsiaTheme="minorEastAsia" w:cstheme="minorEastAsia"/>
          <w:color w:val="auto"/>
          <w:sz w:val="24"/>
          <w:szCs w:val="24"/>
        </w:rPr>
        <w:t>信息安全态势报告</w:t>
      </w:r>
    </w:p>
    <w:p w14:paraId="4B8F1AD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过对全省公安运行的重要业务系统及安全资源进行实时监测和周期性的风险隐患度量，根据监测的结果，提供面向公安信息安全态势报告，能够全面、及时、准确的对福建公安各级公安机关的重要业务网络中存在的安全风险进行预警，可为全省各地的安全规划提供可靠的数据依据和建议。</w:t>
      </w:r>
    </w:p>
    <w:p w14:paraId="2E6EBB7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③</w:t>
      </w:r>
      <w:r>
        <w:rPr>
          <w:rFonts w:hint="eastAsia" w:asciiTheme="minorEastAsia" w:hAnsiTheme="minorEastAsia" w:eastAsiaTheme="minorEastAsia" w:cstheme="minorEastAsia"/>
          <w:color w:val="auto"/>
          <w:sz w:val="24"/>
          <w:szCs w:val="24"/>
        </w:rPr>
        <w:t>安全威胁情报</w:t>
      </w:r>
    </w:p>
    <w:p w14:paraId="0D026D8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针对主流安全事件爆发，提供信息安全事件通告服务，如高危漏洞、网络攻击事件、信息安全热点事件等，同时关注最新安全威胁新型病毒、木马的爆发情况，自主维护采购人威胁情报库，主动发现安全事件及安全威胁，并协助用户进行内部排查掌握本地安全状况。</w:t>
      </w:r>
    </w:p>
    <w:p w14:paraId="787F06C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于高危漏洞一是与资产指纹信息进行快速匹配，确认受影响资产，根据实际业务情况输出最新漏洞的修复指导，并进行最新漏洞状态跟踪；二是协助厅机关相关单位进行修复，并对设区市漏洞修复提供电话咨询。</w:t>
      </w:r>
    </w:p>
    <w:p w14:paraId="060A8A3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④</w:t>
      </w:r>
      <w:r>
        <w:rPr>
          <w:rFonts w:hint="eastAsia" w:asciiTheme="minorEastAsia" w:hAnsiTheme="minorEastAsia" w:eastAsiaTheme="minorEastAsia" w:cstheme="minorEastAsia"/>
          <w:color w:val="auto"/>
          <w:sz w:val="24"/>
          <w:szCs w:val="24"/>
        </w:rPr>
        <w:t>安全通告服务</w:t>
      </w:r>
    </w:p>
    <w:p w14:paraId="0CE1FCC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过对采购人各类公安网络上运行的相关安全设备和业务系统进行实时监测和周期性的风险隐患度量，提供及时、准确的安全风险预警，第一时间通知业务单位相关管理人员，需提供最新安全漏洞、威胁（0day、系统漏洞、网络攻击）的解决办法、安全问题描述和相应的处理意见，及时提供符合采购人实际需求的安全信息。</w:t>
      </w:r>
    </w:p>
    <w:p w14:paraId="6A58377E">
      <w:pPr>
        <w:pStyle w:val="10"/>
        <w:spacing w:before="105" w:after="105"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）安全运维服务</w:t>
      </w:r>
    </w:p>
    <w:p w14:paraId="3C63898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安全现场技术服务</w:t>
      </w:r>
    </w:p>
    <w:p w14:paraId="4541CFB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①</w:t>
      </w:r>
      <w:r>
        <w:rPr>
          <w:rFonts w:hint="eastAsia" w:asciiTheme="minorEastAsia" w:hAnsiTheme="minorEastAsia" w:eastAsiaTheme="minorEastAsia" w:cstheme="minorEastAsia"/>
          <w:color w:val="auto"/>
          <w:sz w:val="24"/>
          <w:szCs w:val="24"/>
        </w:rPr>
        <w:t>日常监测及巡检主要工作职责：</w:t>
      </w:r>
    </w:p>
    <w:p w14:paraId="53A378A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a.</w:t>
      </w:r>
      <w:r>
        <w:rPr>
          <w:rFonts w:hint="eastAsia" w:asciiTheme="minorEastAsia" w:hAnsiTheme="minorEastAsia" w:eastAsiaTheme="minorEastAsia" w:cstheme="minorEastAsia"/>
          <w:color w:val="auto"/>
          <w:sz w:val="24"/>
          <w:szCs w:val="24"/>
        </w:rPr>
        <w:t>网络安全风险监测</w:t>
      </w:r>
    </w:p>
    <w:p w14:paraId="6AC241D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时监测采购人公安信息网络安全设备的安全事件告警，综合分析各类安全事件日志，及时发现安全威胁，分析采购人各个业务网络安全状况，对安全事件进行监测和处置，并通过形成流程进行处置流转或形成安全事件进行通报处置闭环。</w:t>
      </w:r>
    </w:p>
    <w:p w14:paraId="4F7480C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b.</w:t>
      </w:r>
      <w:r>
        <w:rPr>
          <w:rFonts w:hint="eastAsia" w:asciiTheme="minorEastAsia" w:hAnsiTheme="minorEastAsia" w:eastAsiaTheme="minorEastAsia" w:cstheme="minorEastAsia"/>
          <w:color w:val="auto"/>
          <w:sz w:val="24"/>
          <w:szCs w:val="24"/>
        </w:rPr>
        <w:t>信息系统安全监测及处置</w:t>
      </w:r>
    </w:p>
    <w:p w14:paraId="0901D4C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利用采购人现有设备对采购人公安信息网络各类网站、各类信息系统进行安全监测。对网站及系统的漏洞、篡改、挂马、暗链、敏感信息等进行监控，并及时形成流程进行处置流转或形成安全事件进行通报处置闭环。</w:t>
      </w:r>
    </w:p>
    <w:p w14:paraId="3E42854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c.</w:t>
      </w:r>
      <w:r>
        <w:rPr>
          <w:rFonts w:hint="eastAsia" w:asciiTheme="minorEastAsia" w:hAnsiTheme="minorEastAsia" w:eastAsiaTheme="minorEastAsia" w:cstheme="minorEastAsia"/>
          <w:color w:val="auto"/>
          <w:sz w:val="24"/>
          <w:szCs w:val="24"/>
        </w:rPr>
        <w:t>日常安全巡检</w:t>
      </w:r>
    </w:p>
    <w:p w14:paraId="2FEB243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对采购人重要的安全设备（如防火墙、waf、ips、edr等）进行安全巡检，确保重要安全防护设备的正常运行。同时协助采购人做好日常公安部各安全监控网站的签到，告警平台的巡检处置。</w:t>
      </w:r>
    </w:p>
    <w:p w14:paraId="1161F10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②</w:t>
      </w:r>
      <w:r>
        <w:rPr>
          <w:rFonts w:hint="eastAsia" w:asciiTheme="minorEastAsia" w:hAnsiTheme="minorEastAsia" w:eastAsiaTheme="minorEastAsia" w:cstheme="minorEastAsia"/>
          <w:color w:val="auto"/>
          <w:sz w:val="24"/>
          <w:szCs w:val="24"/>
        </w:rPr>
        <w:t>日常安全保障与响应主要工作职责：</w:t>
      </w:r>
    </w:p>
    <w:p w14:paraId="4B60B04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a.</w:t>
      </w:r>
      <w:r>
        <w:rPr>
          <w:rFonts w:hint="eastAsia" w:asciiTheme="minorEastAsia" w:hAnsiTheme="minorEastAsia" w:eastAsiaTheme="minorEastAsia" w:cstheme="minorEastAsia"/>
          <w:color w:val="auto"/>
          <w:sz w:val="24"/>
          <w:szCs w:val="24"/>
        </w:rPr>
        <w:t>部局考核管理</w:t>
      </w:r>
    </w:p>
    <w:p w14:paraId="62300F4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熟悉了解部局各项安全管理考核指标，负责各项考核指标维护工作，定期梳理各项考核指标完成情况，并能针对考核指标提出切实可行优化方案。包含采购人指定的各类公安部安全系统的管理；督促全省各设区市公安局运行管理中信息化安全工作，分析全省运行管理工作，梳理工作中存在的问题，指导各设区市公安局安全员完成日常安全工作并达到公安部考核标准；整合安全部整体安全工作情况进行标准化梳理并形成规范等</w:t>
      </w:r>
    </w:p>
    <w:p w14:paraId="5A87BD2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b.</w:t>
      </w:r>
      <w:r>
        <w:rPr>
          <w:rFonts w:hint="eastAsia" w:asciiTheme="minorEastAsia" w:hAnsiTheme="minorEastAsia" w:eastAsiaTheme="minorEastAsia" w:cstheme="minorEastAsia"/>
          <w:color w:val="auto"/>
          <w:sz w:val="24"/>
          <w:szCs w:val="24"/>
        </w:rPr>
        <w:t>采购人对地市考核管理</w:t>
      </w:r>
    </w:p>
    <w:p w14:paraId="0BCC020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熟悉采购人对地市的考核指标，负责各项考核指标数据实时梳理工作，定期汇总各项考核指标完成情况，指导各设区市公安局安全员对安全考核工作。包含各个考核项数据汇总、统计、维护、更新；考核相关事务的下达、指导、反馈审核等。</w:t>
      </w:r>
    </w:p>
    <w:p w14:paraId="6B29BBD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c.</w:t>
      </w:r>
      <w:r>
        <w:rPr>
          <w:rFonts w:hint="eastAsia" w:asciiTheme="minorEastAsia" w:hAnsiTheme="minorEastAsia" w:eastAsiaTheme="minorEastAsia" w:cstheme="minorEastAsia"/>
          <w:color w:val="auto"/>
          <w:sz w:val="24"/>
          <w:szCs w:val="24"/>
        </w:rPr>
        <w:t>安全检查响应</w:t>
      </w:r>
    </w:p>
    <w:p w14:paraId="6B02290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协助采购人开展安全检查工作，具体包括以下内容：</w:t>
      </w:r>
    </w:p>
    <w:p w14:paraId="4A32448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配合开展与执行每年公安部、省政府下达的安全大检查工作，拟定安全检查工作方案。</w:t>
      </w:r>
    </w:p>
    <w:p w14:paraId="69B41C8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配合开展全省安全培训，负责本级安全检查工作、督促下级开展检查工作，转发每年公安部安全大检查的指南并起草开展安全大检查的工作任务及要求；对安全检查的结果进行总结，并上报。</w:t>
      </w:r>
    </w:p>
    <w:p w14:paraId="44688A6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配合全省安全检查后的整改工作，以及存在问题的跟踪。</w:t>
      </w:r>
    </w:p>
    <w:p w14:paraId="4005273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d.</w:t>
      </w:r>
      <w:r>
        <w:rPr>
          <w:rFonts w:hint="eastAsia" w:asciiTheme="minorEastAsia" w:hAnsiTheme="minorEastAsia" w:eastAsiaTheme="minorEastAsia" w:cstheme="minorEastAsia"/>
          <w:color w:val="auto"/>
          <w:sz w:val="24"/>
          <w:szCs w:val="24"/>
        </w:rPr>
        <w:t>安全事件的闭环管理</w:t>
      </w:r>
    </w:p>
    <w:p w14:paraId="6948C4A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熟悉掌握采购人安全管理中心平台，协助采购人进行日常安全事务、工作、事件的下发、跟踪处置、反馈审核，以及对各设区市上报的安全事件进行审核排查响应，确保全省安全事件运维的闭环管理</w:t>
      </w:r>
    </w:p>
    <w:p w14:paraId="2227F48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③</w:t>
      </w:r>
      <w:r>
        <w:rPr>
          <w:rFonts w:hint="eastAsia" w:asciiTheme="minorEastAsia" w:hAnsiTheme="minorEastAsia" w:eastAsiaTheme="minorEastAsia" w:cstheme="minorEastAsia"/>
          <w:color w:val="auto"/>
          <w:sz w:val="24"/>
          <w:szCs w:val="24"/>
        </w:rPr>
        <w:t>日常数据安全保障主要工作职责：</w:t>
      </w:r>
    </w:p>
    <w:p w14:paraId="468825D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掌握本地应用、安全体系、合作企业体系情况，熟悉公安合作企业及应用数据安全规范要求，针对公安考核及相关规范要求，利用本地应用、安全体系、合作企业系统进行日常合作企业监管和应用安全审计的服务，包含合作企业信息梳理、合作信息核查、运维人员入驻监管、合作企业数据监管及应用日志对接服务数据监管、应用行为数据审查及预警通报等，发现内部可能存在的数据泄漏、违规行为等安全隐患，及时通报处置及协助优化</w:t>
      </w:r>
    </w:p>
    <w:p w14:paraId="6F4569F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④</w:t>
      </w:r>
      <w:r>
        <w:rPr>
          <w:rFonts w:hint="eastAsia" w:asciiTheme="minorEastAsia" w:hAnsiTheme="minorEastAsia" w:eastAsiaTheme="minorEastAsia" w:cstheme="minorEastAsia"/>
          <w:color w:val="auto"/>
          <w:sz w:val="24"/>
          <w:szCs w:val="24"/>
        </w:rPr>
        <w:t>合作企业和人员安全监管</w:t>
      </w:r>
    </w:p>
    <w:p w14:paraId="7BDBE64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为了落实采购人各地信息化合作企业人员开发运维行为的安全监管，避免合作企业和人员的数据泄漏，服务团队需提供以下服务：</w:t>
      </w:r>
    </w:p>
    <w:p w14:paraId="784343D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a.</w:t>
      </w:r>
      <w:r>
        <w:rPr>
          <w:rFonts w:hint="eastAsia" w:asciiTheme="minorEastAsia" w:hAnsiTheme="minorEastAsia" w:eastAsiaTheme="minorEastAsia" w:cstheme="minorEastAsia"/>
          <w:color w:val="auto"/>
          <w:sz w:val="24"/>
          <w:szCs w:val="24"/>
        </w:rPr>
        <w:t>合作企业信息梳理</w:t>
      </w:r>
    </w:p>
    <w:p w14:paraId="7C3C44E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照相关规范管理要求，协助全省信息化合作企业和合作人员进行梳理，全面掌握合作企业基本信息、运维人员基本信息、四方责任信息、合作事项等基本情况，并在公安部信息化合作企业及人员注册管理平台上对合作企业信息进行录入，形成归档。</w:t>
      </w:r>
    </w:p>
    <w:p w14:paraId="4B958C7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b.</w:t>
      </w:r>
      <w:r>
        <w:rPr>
          <w:rFonts w:hint="eastAsia" w:asciiTheme="minorEastAsia" w:hAnsiTheme="minorEastAsia" w:eastAsiaTheme="minorEastAsia" w:cstheme="minorEastAsia"/>
          <w:color w:val="auto"/>
          <w:sz w:val="24"/>
          <w:szCs w:val="24"/>
        </w:rPr>
        <w:t>合作企业和人员背景核查</w:t>
      </w:r>
    </w:p>
    <w:p w14:paraId="626C020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每月依托部局信息化合作企业管理平台上对采购人各设区市开展检查和抽查工作，发现注册信息不规范、未及时开展信息化合作企业及人员填报或注销的数据，协助采购人进行通报相关单位，并协助整改。</w:t>
      </w:r>
    </w:p>
    <w:p w14:paraId="57ABE28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每半月对合作企业注册人员开展背景审查工作，发现注册人员有背景问题的数据，协助采购人进行通报相关单位，并协助整改。</w:t>
      </w:r>
    </w:p>
    <w:p w14:paraId="7B87CA0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c.</w:t>
      </w:r>
      <w:r>
        <w:rPr>
          <w:rFonts w:hint="eastAsia" w:asciiTheme="minorEastAsia" w:hAnsiTheme="minorEastAsia" w:eastAsiaTheme="minorEastAsia" w:cstheme="minorEastAsia"/>
          <w:color w:val="auto"/>
          <w:sz w:val="24"/>
          <w:szCs w:val="24"/>
        </w:rPr>
        <w:t>合作企业和人员入驻管理</w:t>
      </w:r>
    </w:p>
    <w:p w14:paraId="25E45CC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据部省及本级单位对信息化合作企业人员信息安全相关规范，对入驻采购人运维基地的合作企业及运维人员进行相应的管理，信息化合作企业人员需根据信息化合作企业管理制度进行相关流程及资源的申请，协助完善信息化合作单位及人员接入管控机制，运维资源账号的分配，实现对入驻单位及人员、运维资源入网和离网的全生命周期流程管理。</w:t>
      </w:r>
    </w:p>
    <w:p w14:paraId="06845649">
      <w:pPr>
        <w:pStyle w:val="10"/>
        <w:numPr>
          <w:ilvl w:val="0"/>
          <w:numId w:val="0"/>
        </w:num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(a)</w:t>
      </w:r>
      <w:r>
        <w:rPr>
          <w:rFonts w:hint="eastAsia" w:asciiTheme="minorEastAsia" w:hAnsiTheme="minorEastAsia" w:eastAsiaTheme="minorEastAsia" w:cstheme="minorEastAsia"/>
          <w:color w:val="auto"/>
          <w:sz w:val="24"/>
          <w:szCs w:val="24"/>
        </w:rPr>
        <w:t>合作企业及人员入驻离岗管理</w:t>
      </w:r>
    </w:p>
    <w:p w14:paraId="5B47265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按照《福建省公安厅机关信息系统运维保障基地工位管理暂行办法》的相关要求，协助采购人运维基地管理人员开展信息化合作企业及人员入驻及搬离运维基地的相关工作流程。</w:t>
      </w:r>
    </w:p>
    <w:p w14:paraId="74446A37">
      <w:pPr>
        <w:pStyle w:val="10"/>
        <w:numPr>
          <w:ilvl w:val="0"/>
          <w:numId w:val="0"/>
        </w:num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(b)</w:t>
      </w:r>
      <w:r>
        <w:rPr>
          <w:rFonts w:hint="eastAsia" w:asciiTheme="minorEastAsia" w:hAnsiTheme="minorEastAsia" w:eastAsiaTheme="minorEastAsia" w:cstheme="minorEastAsia"/>
          <w:color w:val="auto"/>
          <w:sz w:val="24"/>
          <w:szCs w:val="24"/>
        </w:rPr>
        <w:t>运维信息及资源统一管理</w:t>
      </w:r>
    </w:p>
    <w:p w14:paraId="2904F89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据采购人信息化合作企业人员信息安全相关规范，依托信息化合作企业运维管控平台将合作企业及人员需根据信息化合作单位管理制度进行相关流程及资源的申请后的企业信息、人员信息、现场工位信息、办公设备信息、安全资源信息、账号信息、入驻/离场信息等相关资源信息进行统一管理，并确保平台信息鲜活性和准确性，能够对以上信息进行统一数据展汇总分析，对采购人合作企业和人员运维信息及资源进行精细化全生命周期管理。</w:t>
      </w:r>
    </w:p>
    <w:p w14:paraId="5D679FF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d.</w:t>
      </w:r>
      <w:r>
        <w:rPr>
          <w:rFonts w:hint="eastAsia" w:asciiTheme="minorEastAsia" w:hAnsiTheme="minorEastAsia" w:eastAsiaTheme="minorEastAsia" w:cstheme="minorEastAsia"/>
          <w:color w:val="auto"/>
          <w:sz w:val="24"/>
          <w:szCs w:val="24"/>
        </w:rPr>
        <w:t>运维基地的安全管控体系的运维</w:t>
      </w:r>
    </w:p>
    <w:p w14:paraId="19430EE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对运维基地所有安全资产进行日常巡检维护，发现异常及时处置，确保基地安全防护体系的正常运行。</w:t>
      </w:r>
    </w:p>
    <w:p w14:paraId="11DED74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e.</w:t>
      </w:r>
      <w:r>
        <w:rPr>
          <w:rFonts w:hint="eastAsia" w:asciiTheme="minorEastAsia" w:hAnsiTheme="minorEastAsia" w:eastAsiaTheme="minorEastAsia" w:cstheme="minorEastAsia"/>
          <w:color w:val="auto"/>
          <w:sz w:val="24"/>
          <w:szCs w:val="24"/>
        </w:rPr>
        <w:t>合作企业和人员风险监管</w:t>
      </w:r>
    </w:p>
    <w:p w14:paraId="1B3CD57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针对合作企业单位和运维人员，对其所产生运维资产、运维行为、网络行为、应用行为等数据整合进入信息化合作企业运维管控平台，并确保数据的实时性及完整性。定期对数据进行全面分析，发现合作企业管理体系内部可能存在的违规行为及安全风险，做好相关的安全预警及协助整改。</w:t>
      </w:r>
    </w:p>
    <w:p w14:paraId="6E4C501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工作职责包含不限于：</w:t>
      </w:r>
    </w:p>
    <w:p w14:paraId="54E270C1">
      <w:pPr>
        <w:pStyle w:val="10"/>
        <w:numPr>
          <w:ilvl w:val="0"/>
          <w:numId w:val="0"/>
        </w:num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(a)</w:t>
      </w:r>
      <w:r>
        <w:rPr>
          <w:rFonts w:hint="eastAsia" w:asciiTheme="minorEastAsia" w:hAnsiTheme="minorEastAsia" w:eastAsiaTheme="minorEastAsia" w:cstheme="minorEastAsia"/>
          <w:color w:val="auto"/>
          <w:sz w:val="24"/>
          <w:szCs w:val="24"/>
        </w:rPr>
        <w:t>人员操作行为的管控</w:t>
      </w:r>
    </w:p>
    <w:p w14:paraId="40A77EF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确保入驻基地的人员仅能在划定的工作范围内接触公安的信息资源，及时发现监控逃逸的行为，并协助基地相关管理人员进行排查处置</w:t>
      </w:r>
    </w:p>
    <w:p w14:paraId="23F79755">
      <w:pPr>
        <w:pStyle w:val="10"/>
        <w:numPr>
          <w:ilvl w:val="0"/>
          <w:numId w:val="0"/>
        </w:num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(b)</w:t>
      </w:r>
      <w:r>
        <w:rPr>
          <w:rFonts w:hint="eastAsia" w:asciiTheme="minorEastAsia" w:hAnsiTheme="minorEastAsia" w:eastAsiaTheme="minorEastAsia" w:cstheme="minorEastAsia"/>
          <w:color w:val="auto"/>
          <w:sz w:val="24"/>
          <w:szCs w:val="24"/>
        </w:rPr>
        <w:t>操作运维行为的审计</w:t>
      </w:r>
    </w:p>
    <w:p w14:paraId="41BA2C3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实现入驻基地人员操作行为的全面审计，并确保审计信息完整不缺失，不得出现审计逃逸的现象，对出现问题倒查能形成完整的证据链条。</w:t>
      </w:r>
    </w:p>
    <w:p w14:paraId="550CE983">
      <w:pPr>
        <w:pStyle w:val="10"/>
        <w:numPr>
          <w:ilvl w:val="0"/>
          <w:numId w:val="0"/>
        </w:num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(c)</w:t>
      </w:r>
      <w:r>
        <w:rPr>
          <w:rFonts w:hint="eastAsia" w:asciiTheme="minorEastAsia" w:hAnsiTheme="minorEastAsia" w:eastAsiaTheme="minorEastAsia" w:cstheme="minorEastAsia"/>
          <w:color w:val="auto"/>
          <w:sz w:val="24"/>
          <w:szCs w:val="24"/>
        </w:rPr>
        <w:t>实体行为预警</w:t>
      </w:r>
    </w:p>
    <w:p w14:paraId="4434F71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能通过实时检测或定期数据分析实现合作企业人员在运维过程中的异常行为的预警，并协助基地相关管理人员进行排查处置。</w:t>
      </w:r>
    </w:p>
    <w:p w14:paraId="2C29E33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安全保障服务</w:t>
      </w:r>
    </w:p>
    <w:p w14:paraId="1B126F5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①</w:t>
      </w:r>
      <w:r>
        <w:rPr>
          <w:rFonts w:hint="eastAsia" w:asciiTheme="minorEastAsia" w:hAnsiTheme="minorEastAsia" w:eastAsiaTheme="minorEastAsia" w:cstheme="minorEastAsia"/>
          <w:color w:val="auto"/>
          <w:sz w:val="24"/>
          <w:szCs w:val="24"/>
        </w:rPr>
        <w:t>重要时期/专项活动安全保障</w:t>
      </w:r>
    </w:p>
    <w:p w14:paraId="776E3B1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重要时期主要指国家、政府或企事业单位需要经历的，具有重大政治、经济影响的一段时间。在此期间，信息安全责任单位或部门必须防范重大网络安全事件的发生，保证重要信息系统的安全稳定运行，以保障业务单位或部门更好地完成既定的战略或战术目标。本处重要时期既包含重大的政治经济活动如两会、党代会、数字峰会等，也包含重大节假日如国庆等。</w:t>
      </w:r>
    </w:p>
    <w:p w14:paraId="5E7CFF5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要求服务团队在现场进行安全值守，对威胁情报收集与分析，对公安厅各类公安网络进行全面安全监测和应急响应，重点严防页面篡改、挂马、数据泄露等重大安全事件发生。提供现场应急专家服务，根据值守团队研判情况，涉及可能发生重大安全事件时应提供专家现场应急响应处置服务，到一线进行应急响应处置工作。</w:t>
      </w:r>
    </w:p>
    <w:p w14:paraId="4C3D13A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②</w:t>
      </w:r>
      <w:r>
        <w:rPr>
          <w:rFonts w:hint="eastAsia" w:asciiTheme="minorEastAsia" w:hAnsiTheme="minorEastAsia" w:eastAsiaTheme="minorEastAsia" w:cstheme="minorEastAsia"/>
          <w:color w:val="auto"/>
          <w:sz w:val="24"/>
          <w:szCs w:val="24"/>
        </w:rPr>
        <w:t>安全管理服务</w:t>
      </w:r>
    </w:p>
    <w:p w14:paraId="3EC0795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a.</w:t>
      </w:r>
      <w:r>
        <w:rPr>
          <w:rFonts w:hint="eastAsia" w:asciiTheme="minorEastAsia" w:hAnsiTheme="minorEastAsia" w:eastAsiaTheme="minorEastAsia" w:cstheme="minorEastAsia"/>
          <w:color w:val="auto"/>
          <w:sz w:val="24"/>
          <w:szCs w:val="24"/>
        </w:rPr>
        <w:t>等保信息管理</w:t>
      </w:r>
    </w:p>
    <w:p w14:paraId="067B532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每月开展采购人等保信息资产情况维护，存档省级等保备案、测评相关材料信息，形成《全省等保信息登记表》。</w:t>
      </w:r>
    </w:p>
    <w:p w14:paraId="22CB376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按公安部考评标准，每月更新省级等保备案、测评情况，并更新至公安部“等级保护信息登记平台”。</w:t>
      </w:r>
    </w:p>
    <w:p w14:paraId="3FDE2EE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提供管理平台，让地市进行等保备案、测评情况的登记，便于采购人掌握各地市的等保情况。</w:t>
      </w:r>
    </w:p>
    <w:p w14:paraId="6B01DB4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对于采购人各业务单位的等保测评工作提供职责能力范围内的安全技术支撑。</w:t>
      </w:r>
    </w:p>
    <w:p w14:paraId="502D1CB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b.</w:t>
      </w:r>
      <w:r>
        <w:rPr>
          <w:rFonts w:hint="eastAsia" w:asciiTheme="minorEastAsia" w:hAnsiTheme="minorEastAsia" w:eastAsiaTheme="minorEastAsia" w:cstheme="minorEastAsia"/>
          <w:color w:val="auto"/>
          <w:sz w:val="24"/>
          <w:szCs w:val="24"/>
        </w:rPr>
        <w:t>安全考核管理</w:t>
      </w:r>
    </w:p>
    <w:p w14:paraId="5E7BED1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协助采购人本级管理员开展公安部安全考核、采购人本级自设指标、全省公安科通部门重点工作等各类安全考核提供技术支撑、考评数据。</w:t>
      </w:r>
    </w:p>
    <w:p w14:paraId="6824DE1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每日巡检公安部重点考核系统，确保按照公安部考核指标要求完成签到工作；</w:t>
      </w:r>
    </w:p>
    <w:p w14:paraId="2808575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针对安全考核指标出现技术层面上的问题，能够配合采购人及时与公安部等相关考核部门进行有效技术沟通，根据考核指标提供省市两级常态化排查、通报、整改、核验安全风险运维闭环管。</w:t>
      </w:r>
    </w:p>
    <w:p w14:paraId="21165CF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梳理统计全省安全情况，对每月科通重点工作提供有力数据支撑，按时提交《全省公安科通重点工作进展情况汇总表》</w:t>
      </w:r>
    </w:p>
    <w:p w14:paraId="3C41416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③</w:t>
      </w:r>
      <w:r>
        <w:rPr>
          <w:rFonts w:hint="eastAsia" w:asciiTheme="minorEastAsia" w:hAnsiTheme="minorEastAsia" w:eastAsiaTheme="minorEastAsia" w:cstheme="minorEastAsia"/>
          <w:color w:val="auto"/>
          <w:sz w:val="24"/>
          <w:szCs w:val="24"/>
        </w:rPr>
        <w:t>安全检查管理</w:t>
      </w:r>
    </w:p>
    <w:p w14:paraId="14BE2D7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a.</w:t>
      </w:r>
      <w:r>
        <w:rPr>
          <w:rFonts w:hint="eastAsia" w:asciiTheme="minorEastAsia" w:hAnsiTheme="minorEastAsia" w:eastAsiaTheme="minorEastAsia" w:cstheme="minorEastAsia"/>
          <w:color w:val="auto"/>
          <w:sz w:val="24"/>
          <w:szCs w:val="24"/>
        </w:rPr>
        <w:t>协助采购人开展各类安全检查工作，并提供安全技术支撑，确保上级指定查看的系统可以顺利迎检；</w:t>
      </w:r>
    </w:p>
    <w:p w14:paraId="117EEA3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b.</w:t>
      </w:r>
      <w:r>
        <w:rPr>
          <w:rFonts w:hint="eastAsia" w:asciiTheme="minorEastAsia" w:hAnsiTheme="minorEastAsia" w:eastAsiaTheme="minorEastAsia" w:cstheme="minorEastAsia"/>
          <w:color w:val="auto"/>
          <w:sz w:val="24"/>
          <w:szCs w:val="24"/>
        </w:rPr>
        <w:t>协助搜集各类安全材料素材，完成各项指标检查。</w:t>
      </w:r>
    </w:p>
    <w:p w14:paraId="5D1B3D4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④</w:t>
      </w:r>
      <w:r>
        <w:rPr>
          <w:rFonts w:hint="eastAsia" w:asciiTheme="minorEastAsia" w:hAnsiTheme="minorEastAsia" w:eastAsiaTheme="minorEastAsia" w:cstheme="minorEastAsia"/>
          <w:color w:val="auto"/>
          <w:sz w:val="24"/>
          <w:szCs w:val="24"/>
        </w:rPr>
        <w:t>安全运营保障服务</w:t>
      </w:r>
    </w:p>
    <w:p w14:paraId="14357A8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提供安全运营保障服务包含安全运营平台、网络安全防护、网络接入控制等保障，具体要求如下：</w:t>
      </w:r>
    </w:p>
    <w:p w14:paraId="491528D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a.</w:t>
      </w:r>
      <w:r>
        <w:rPr>
          <w:rFonts w:hint="eastAsia" w:asciiTheme="minorEastAsia" w:hAnsiTheme="minorEastAsia" w:eastAsiaTheme="minorEastAsia" w:cstheme="minorEastAsia"/>
          <w:color w:val="auto"/>
          <w:sz w:val="24"/>
          <w:szCs w:val="24"/>
        </w:rPr>
        <w:t>安全运营平台：提供安全运营平台，用于在服务期间针对采购人安全运维、安全考核及安全重点工作，能够提供省市两级常态化排查、通报、整改、核验安全风险运维闭环管理服务，包括：</w:t>
      </w:r>
    </w:p>
    <w:p w14:paraId="378DC40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提供安全事件流转、安全公告服务，能够对各设区市反馈处置情况进行追踪，对处置结果进行审核管理；</w:t>
      </w:r>
    </w:p>
    <w:p w14:paraId="6274852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提供边界管理服务，统计疑似风险边界，并形成规范流程要求各设区市按要求备案登记、整改。同时能够将对各项风险数据及处置情况进行统计分析；</w:t>
      </w:r>
    </w:p>
    <w:p w14:paraId="3E00D22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针对全省资产脆弱性提供实时监测的服务，能够统计各单位风险资产、弱口令资产以及边界、数据库等重点资产的漏洞弱口令变化情况，修复情况的数据统计；</w:t>
      </w:r>
    </w:p>
    <w:p w14:paraId="0B5F8D9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针对采购人各设区市的安全考核要求，将各设区市考核数据实时地进行统计展示，包含考核分数、扣分项、扣分原因；</w:t>
      </w:r>
    </w:p>
    <w:p w14:paraId="6596A88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对攻防演练整改、应急值守、安全检查等专项工作的开展情况进行集中管理，根据各种专项工作要求提供相应的反馈、处置流程，能够将专项活动中的数据进行汇总展示。</w:t>
      </w:r>
    </w:p>
    <w:p w14:paraId="3D0963C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b.</w:t>
      </w:r>
      <w:r>
        <w:rPr>
          <w:rFonts w:hint="eastAsia" w:asciiTheme="minorEastAsia" w:hAnsiTheme="minorEastAsia" w:eastAsiaTheme="minorEastAsia" w:cstheme="minorEastAsia"/>
          <w:color w:val="auto"/>
          <w:sz w:val="24"/>
          <w:szCs w:val="24"/>
        </w:rPr>
        <w:t>网络安全防护：采购人本级视频专网与政务外网双向安全防护，包括但不限于访问控制能力、入侵防御能力。</w:t>
      </w:r>
    </w:p>
    <w:p w14:paraId="0476C3E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c.</w:t>
      </w:r>
      <w:r>
        <w:rPr>
          <w:rFonts w:hint="eastAsia" w:asciiTheme="minorEastAsia" w:hAnsiTheme="minorEastAsia" w:eastAsiaTheme="minorEastAsia" w:cstheme="minorEastAsia"/>
          <w:color w:val="auto"/>
          <w:sz w:val="24"/>
          <w:szCs w:val="24"/>
        </w:rPr>
        <w:t>网络接入控制：提供全省移动警务便携式笔记本及采购人国产化PC终端网络准入控制服务，将各网“一机两用”、防病毒软件的安装情况作为入网基线的检查依据，对于未按要求注册接入的设备进行准入控制，阻断其所有访问请求，并引导其合规入网。</w:t>
      </w:r>
    </w:p>
    <w:p w14:paraId="04D5289A">
      <w:pPr>
        <w:pStyle w:val="10"/>
        <w:numPr>
          <w:ilvl w:val="0"/>
          <w:numId w:val="0"/>
        </w:num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⑤</w:t>
      </w:r>
      <w:r>
        <w:rPr>
          <w:rFonts w:hint="eastAsia" w:asciiTheme="minorEastAsia" w:hAnsiTheme="minorEastAsia" w:eastAsiaTheme="minorEastAsia" w:cstheme="minorEastAsia"/>
          <w:color w:val="auto"/>
          <w:sz w:val="24"/>
          <w:szCs w:val="24"/>
        </w:rPr>
        <w:t>公安数字证书签发保障服务</w:t>
      </w:r>
    </w:p>
    <w:p w14:paraId="6032D80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提供公安数字证书签发服务能力，包含但不限于为省厅及地市的公安数字证书的签发、注销、冻结、更新等日常维护提供必要的原厂相关授权、技术支持等，确保证书签发服务不间断。</w:t>
      </w:r>
    </w:p>
    <w:p w14:paraId="6AC1A35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护网演练保障</w:t>
      </w:r>
    </w:p>
    <w:p w14:paraId="6AD1B86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作为组织及值守方协助完成全国、省级护网攻防演练有效防守保障，提供包括护网前期梳理加固工作、护网期间组织防御监测、及护网结束后的复盘、协助修复等工作。根据需要提供24小时应急值守服务、额外的应急值守人员和安全设备。</w:t>
      </w:r>
    </w:p>
    <w:p w14:paraId="2C69198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等保咨询服务</w:t>
      </w:r>
    </w:p>
    <w:p w14:paraId="2529656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①</w:t>
      </w:r>
      <w:r>
        <w:rPr>
          <w:rFonts w:hint="eastAsia" w:asciiTheme="minorEastAsia" w:hAnsiTheme="minorEastAsia" w:eastAsiaTheme="minorEastAsia" w:cstheme="minorEastAsia"/>
          <w:color w:val="auto"/>
          <w:sz w:val="24"/>
          <w:szCs w:val="24"/>
        </w:rPr>
        <w:t>安全体系巡检与评估</w:t>
      </w:r>
    </w:p>
    <w:p w14:paraId="490854C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定期对安全设备/系统的进行深度巡检，及时发现设备存在的问题，并收集巡检对象信息，核实采购人提供出信息与实际状况的符合程度，对存在信息不符、缺失的情况，协调采购人配合完善巡检对像信息。定期对采购人本级网络安全防护安全体系现状进行分析评估，针对当前公安考评、等保测评及实际安全防护等需求和存在的问题提出新建、更新、升级、扩容、替换等安全建议。</w:t>
      </w:r>
    </w:p>
    <w:p w14:paraId="18AD7D3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巡检内容主要包括对各种安全设备的运行状态、CPU利用率、内存利用率、接口状态、设备软件版本、远程登录安全性、接口流量、运行日志、策略可用性、策略备份情况、系统安全性等进行检查。通过对检查结果的分析、汇总形成安全巡检报告。</w:t>
      </w:r>
    </w:p>
    <w:p w14:paraId="1780060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设备硬件的运行情况：电源、风扇、机箱、各个板卡、flash卡，状态灯的运行状态等各个物理端口的稳定性检查、连线情况、标签和标识情况。</w:t>
      </w:r>
    </w:p>
    <w:p w14:paraId="4B4DD3D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设备硬件状态巡检：设备硬件报警信息、系统内核运行状况、是否有新的内核升级程序可以使用。</w:t>
      </w:r>
    </w:p>
    <w:p w14:paraId="0780EA9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设备软件状态巡检：软件系统版本升级、CPU利用率、内存利用率、网络接口使用率。</w:t>
      </w:r>
    </w:p>
    <w:p w14:paraId="4CB5CA9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设备性能状态巡检：Buffer使用情况。</w:t>
      </w:r>
    </w:p>
    <w:p w14:paraId="533238D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安全策略优化：安全策略正确性和有效性复核。</w:t>
      </w:r>
    </w:p>
    <w:p w14:paraId="4ED865F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日志检查：日志接收是否正常、日志是否需要满日志处理。</w:t>
      </w:r>
    </w:p>
    <w:p w14:paraId="530BF6E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日志收集和分析：检查防毒墙等病毒定义升级情况。</w:t>
      </w:r>
    </w:p>
    <w:p w14:paraId="587EB58C">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规则库检查：检查防毒墙等病毒定义升级情况、检查IDS/IPS规则库升级情况。</w:t>
      </w:r>
    </w:p>
    <w:p w14:paraId="511A4D9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系统脆弱性：设备漏洞及弱口令检测、安全基线核查。</w:t>
      </w:r>
    </w:p>
    <w:p w14:paraId="7FEA819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系统渗透：高级渗透对系统进行深层探测，发现系统最脆弱的环节。</w:t>
      </w:r>
    </w:p>
    <w:p w14:paraId="79DFEA1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②</w:t>
      </w:r>
      <w:r>
        <w:rPr>
          <w:rFonts w:hint="eastAsia" w:asciiTheme="minorEastAsia" w:hAnsiTheme="minorEastAsia" w:eastAsiaTheme="minorEastAsia" w:cstheme="minorEastAsia"/>
          <w:color w:val="auto"/>
          <w:sz w:val="24"/>
          <w:szCs w:val="24"/>
        </w:rPr>
        <w:t>脆弱性分析</w:t>
      </w:r>
    </w:p>
    <w:p w14:paraId="090347D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于漏洞知识库、漏洞情报和威胁信息，通过信息采集、漏洞扫描、人工分析、指纹比对等手段对资产相关的应用程序、数据库、WEB服务、网络设备和安全设备等进行安全脆弱性检测，包括但不限于系统安全漏洞、WEB应用漏洞、数据库漏洞、漏洞组件、弱口令、网站恶意代码、高危端口等，形成资产脆弱性分析报告，完成风险处置的闭环管理。</w:t>
      </w:r>
    </w:p>
    <w:p w14:paraId="656329F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定期对采购人本级服务器的漏洞风险、弱密码、风险端口、配置风险、明文传输等脆弱性问题进行扫描、监控；定期开展服务器终端基线检查；根据最新漏洞情报和威胁信息，与现场资产指纹信息进行快速匹配，确认受影响资产，根据实际业务情况输出最新漏洞的修复指导，并进行最新漏洞状态跟踪，追踪资产漏洞生命周期，掌握各个资产的脆弱性状况及漏洞修复情况；协助管理员下发、跟踪、处置、核实、反馈相关脆弱性问题。</w:t>
      </w:r>
    </w:p>
    <w:p w14:paraId="7EF5786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安全培训服务</w:t>
      </w:r>
    </w:p>
    <w:p w14:paraId="79642A9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培训作为提升相关人员安全意识、安全技能、管理办法的一种手段，也是安全加固得以实施的保障。服务团队根据采购人需求每年面向采购人的信息系统使用人员、管理人员、维护人员等提供1次信息安全基础技术、技能和意识等方面培训，内容包含但不限于以下内容：安全标准、政策法规解读，信息安全意识、信息安全发展方向、周期性安全服务报告解读、根据信息系统运行情况定制培训等，从而提高采购人的安全技能与安全管理水平。</w:t>
      </w:r>
    </w:p>
    <w:p w14:paraId="0987E5C1">
      <w:pPr>
        <w:pStyle w:val="10"/>
        <w:numPr>
          <w:ilvl w:val="0"/>
          <w:numId w:val="0"/>
        </w:numPr>
        <w:spacing w:line="360" w:lineRule="auto"/>
        <w:ind w:firstLine="482"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4.</w:t>
      </w:r>
      <w:r>
        <w:rPr>
          <w:rFonts w:hint="eastAsia" w:asciiTheme="minorEastAsia" w:hAnsiTheme="minorEastAsia" w:eastAsiaTheme="minorEastAsia" w:cstheme="minorEastAsia"/>
          <w:b/>
          <w:color w:val="auto"/>
          <w:sz w:val="24"/>
          <w:szCs w:val="24"/>
        </w:rPr>
        <w:t>文档要求</w:t>
      </w:r>
    </w:p>
    <w:tbl>
      <w:tblPr>
        <w:tblStyle w:val="6"/>
        <w:tblW w:w="8279"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26"/>
        <w:gridCol w:w="751"/>
        <w:gridCol w:w="1390"/>
        <w:gridCol w:w="1691"/>
        <w:gridCol w:w="3921"/>
      </w:tblGrid>
      <w:tr w14:paraId="0BE56A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single" w:color="000000" w:sz="4" w:space="0"/>
              <w:left w:val="single" w:color="000000" w:sz="4" w:space="0"/>
              <w:bottom w:val="single" w:color="000000" w:sz="4" w:space="0"/>
              <w:right w:val="nil"/>
            </w:tcBorders>
            <w:tcMar>
              <w:top w:w="15" w:type="dxa"/>
              <w:left w:w="105" w:type="dxa"/>
              <w:bottom w:w="15" w:type="dxa"/>
              <w:right w:w="105" w:type="dxa"/>
            </w:tcMar>
            <w:vAlign w:val="top"/>
          </w:tcPr>
          <w:p w14:paraId="052DF944">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751" w:type="dxa"/>
            <w:tcBorders>
              <w:top w:val="single" w:color="000000" w:sz="4" w:space="0"/>
              <w:left w:val="single" w:color="000000" w:sz="4" w:space="0"/>
              <w:bottom w:val="single" w:color="000000" w:sz="4" w:space="0"/>
              <w:right w:val="single" w:color="000000" w:sz="4" w:space="0"/>
            </w:tcBorders>
            <w:tcMar>
              <w:top w:w="15" w:type="dxa"/>
              <w:left w:w="105" w:type="dxa"/>
              <w:bottom w:w="15" w:type="dxa"/>
              <w:right w:w="105" w:type="dxa"/>
            </w:tcMar>
            <w:vAlign w:val="top"/>
          </w:tcPr>
          <w:p w14:paraId="66CD37F3">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服务类型</w:t>
            </w:r>
          </w:p>
        </w:tc>
        <w:tc>
          <w:tcPr>
            <w:tcW w:w="1390" w:type="dxa"/>
            <w:tcBorders>
              <w:top w:val="single" w:color="000000" w:sz="4" w:space="0"/>
              <w:left w:val="nil"/>
              <w:bottom w:val="single" w:color="000000" w:sz="4" w:space="0"/>
              <w:right w:val="single" w:color="000000" w:sz="4" w:space="0"/>
            </w:tcBorders>
            <w:tcMar>
              <w:top w:w="15" w:type="dxa"/>
              <w:left w:w="105" w:type="dxa"/>
              <w:bottom w:w="15" w:type="dxa"/>
              <w:right w:w="105" w:type="dxa"/>
            </w:tcMar>
            <w:vAlign w:val="top"/>
          </w:tcPr>
          <w:p w14:paraId="3AE7EF76">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服务名称</w:t>
            </w:r>
          </w:p>
        </w:tc>
        <w:tc>
          <w:tcPr>
            <w:tcW w:w="1691" w:type="dxa"/>
            <w:tcBorders>
              <w:top w:val="single" w:color="000000" w:sz="4" w:space="0"/>
              <w:left w:val="nil"/>
              <w:bottom w:val="single" w:color="000000" w:sz="4" w:space="0"/>
              <w:right w:val="single" w:color="000000" w:sz="4" w:space="0"/>
            </w:tcBorders>
            <w:tcMar>
              <w:top w:w="15" w:type="dxa"/>
              <w:left w:w="105" w:type="dxa"/>
              <w:bottom w:w="15" w:type="dxa"/>
              <w:right w:w="105" w:type="dxa"/>
            </w:tcMar>
            <w:vAlign w:val="top"/>
          </w:tcPr>
          <w:p w14:paraId="1E7441BF">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服务项</w:t>
            </w:r>
          </w:p>
        </w:tc>
        <w:tc>
          <w:tcPr>
            <w:tcW w:w="3921" w:type="dxa"/>
            <w:tcBorders>
              <w:top w:val="single" w:color="000000" w:sz="4" w:space="0"/>
              <w:left w:val="nil"/>
              <w:bottom w:val="single" w:color="000000" w:sz="4" w:space="0"/>
              <w:right w:val="single" w:color="000000" w:sz="4" w:space="0"/>
            </w:tcBorders>
            <w:tcMar>
              <w:top w:w="15" w:type="dxa"/>
              <w:left w:w="105" w:type="dxa"/>
              <w:bottom w:w="15" w:type="dxa"/>
              <w:right w:w="105" w:type="dxa"/>
            </w:tcMar>
            <w:vAlign w:val="top"/>
          </w:tcPr>
          <w:p w14:paraId="3557F2D4">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交付物</w:t>
            </w:r>
          </w:p>
        </w:tc>
      </w:tr>
      <w:tr w14:paraId="61CC3F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7A7C69F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751" w:type="dxa"/>
            <w:vMerge w:val="restart"/>
            <w:tcBorders>
              <w:top w:val="nil"/>
              <w:left w:val="nil"/>
              <w:bottom w:val="single" w:color="000000" w:sz="4" w:space="0"/>
              <w:right w:val="single" w:color="000000" w:sz="4" w:space="0"/>
            </w:tcBorders>
            <w:tcMar>
              <w:top w:w="15" w:type="dxa"/>
              <w:left w:w="105" w:type="dxa"/>
              <w:bottom w:w="15" w:type="dxa"/>
              <w:right w:w="105" w:type="dxa"/>
            </w:tcMar>
            <w:vAlign w:val="top"/>
          </w:tcPr>
          <w:p w14:paraId="0B7518D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安全监测服务</w:t>
            </w:r>
          </w:p>
        </w:tc>
        <w:tc>
          <w:tcPr>
            <w:tcW w:w="1390"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73EB391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网络安全风险监测及处置</w:t>
            </w: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31F1CB9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网络安全风险监测及处置</w:t>
            </w:r>
          </w:p>
        </w:tc>
        <w:tc>
          <w:tcPr>
            <w:tcW w:w="3921" w:type="dxa"/>
            <w:vMerge w:val="restart"/>
            <w:tcBorders>
              <w:top w:val="nil"/>
              <w:left w:val="nil"/>
              <w:bottom w:val="single" w:color="000000" w:sz="4" w:space="0"/>
              <w:right w:val="single" w:color="000000" w:sz="4" w:space="0"/>
            </w:tcBorders>
            <w:tcMar>
              <w:top w:w="15" w:type="dxa"/>
              <w:left w:w="105" w:type="dxa"/>
              <w:bottom w:w="15" w:type="dxa"/>
              <w:right w:w="105" w:type="dxa"/>
            </w:tcMar>
            <w:vAlign w:val="top"/>
          </w:tcPr>
          <w:p w14:paraId="3A95DD4D">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《安全事件处置记录》《安全事件整改通知书》《安全事件处置情况报告》《安全事件月统计表》《安全事件年终统计表》《厅互联网漏洞报告》《厅互联网红方测试报告》</w:t>
            </w:r>
          </w:p>
        </w:tc>
      </w:tr>
      <w:tr w14:paraId="699FD2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422A0B0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751" w:type="dxa"/>
            <w:vMerge w:val="continue"/>
            <w:tcBorders>
              <w:top w:val="nil"/>
              <w:left w:val="nil"/>
              <w:bottom w:val="single" w:color="000000" w:sz="4" w:space="0"/>
              <w:right w:val="single" w:color="000000" w:sz="4" w:space="0"/>
            </w:tcBorders>
          </w:tcPr>
          <w:p w14:paraId="5D138B10">
            <w:pPr>
              <w:spacing w:line="360" w:lineRule="auto"/>
              <w:rPr>
                <w:rFonts w:hint="eastAsia" w:asciiTheme="minorEastAsia" w:hAnsiTheme="minorEastAsia" w:eastAsiaTheme="minorEastAsia" w:cstheme="minorEastAsia"/>
                <w:color w:val="auto"/>
                <w:sz w:val="24"/>
                <w:szCs w:val="24"/>
              </w:rPr>
            </w:pPr>
          </w:p>
        </w:tc>
        <w:tc>
          <w:tcPr>
            <w:tcW w:w="1390"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4B57649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信息系统安全监测及处置</w:t>
            </w: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5B04138B">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信息系统安全监测及处置</w:t>
            </w:r>
          </w:p>
        </w:tc>
        <w:tc>
          <w:tcPr>
            <w:tcW w:w="3921" w:type="dxa"/>
            <w:vMerge w:val="continue"/>
            <w:tcBorders>
              <w:top w:val="nil"/>
              <w:left w:val="nil"/>
              <w:bottom w:val="single" w:color="000000" w:sz="4" w:space="0"/>
              <w:right w:val="single" w:color="000000" w:sz="4" w:space="0"/>
            </w:tcBorders>
          </w:tcPr>
          <w:p w14:paraId="296105D0">
            <w:pPr>
              <w:spacing w:line="360" w:lineRule="auto"/>
              <w:rPr>
                <w:rFonts w:hint="eastAsia" w:asciiTheme="minorEastAsia" w:hAnsiTheme="minorEastAsia" w:eastAsiaTheme="minorEastAsia" w:cstheme="minorEastAsia"/>
                <w:color w:val="auto"/>
                <w:sz w:val="24"/>
                <w:szCs w:val="24"/>
              </w:rPr>
            </w:pPr>
          </w:p>
        </w:tc>
      </w:tr>
      <w:tr w14:paraId="12B5AD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4C7854A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751" w:type="dxa"/>
            <w:vMerge w:val="continue"/>
            <w:tcBorders>
              <w:top w:val="nil"/>
              <w:left w:val="nil"/>
              <w:bottom w:val="single" w:color="000000" w:sz="4" w:space="0"/>
              <w:right w:val="single" w:color="000000" w:sz="4" w:space="0"/>
            </w:tcBorders>
          </w:tcPr>
          <w:p w14:paraId="2D97CFB5">
            <w:pPr>
              <w:spacing w:line="360" w:lineRule="auto"/>
              <w:rPr>
                <w:rFonts w:hint="eastAsia" w:asciiTheme="minorEastAsia" w:hAnsiTheme="minorEastAsia" w:eastAsiaTheme="minorEastAsia" w:cstheme="minorEastAsia"/>
                <w:color w:val="auto"/>
                <w:sz w:val="24"/>
                <w:szCs w:val="24"/>
              </w:rPr>
            </w:pPr>
          </w:p>
        </w:tc>
        <w:tc>
          <w:tcPr>
            <w:tcW w:w="1390"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51D6CF0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安全事件应急响应服务</w:t>
            </w: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692ADD34">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安全事件应急响应</w:t>
            </w:r>
          </w:p>
        </w:tc>
        <w:tc>
          <w:tcPr>
            <w:tcW w:w="3921" w:type="dxa"/>
            <w:vMerge w:val="continue"/>
            <w:tcBorders>
              <w:top w:val="nil"/>
              <w:left w:val="nil"/>
              <w:bottom w:val="single" w:color="000000" w:sz="4" w:space="0"/>
              <w:right w:val="single" w:color="000000" w:sz="4" w:space="0"/>
            </w:tcBorders>
          </w:tcPr>
          <w:p w14:paraId="2F96504F">
            <w:pPr>
              <w:spacing w:line="360" w:lineRule="auto"/>
              <w:rPr>
                <w:rFonts w:hint="eastAsia" w:asciiTheme="minorEastAsia" w:hAnsiTheme="minorEastAsia" w:eastAsiaTheme="minorEastAsia" w:cstheme="minorEastAsia"/>
                <w:color w:val="auto"/>
                <w:sz w:val="24"/>
                <w:szCs w:val="24"/>
              </w:rPr>
            </w:pPr>
          </w:p>
        </w:tc>
      </w:tr>
      <w:tr w14:paraId="4B56B5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2F7D583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751" w:type="dxa"/>
            <w:vMerge w:val="restart"/>
            <w:tcBorders>
              <w:top w:val="nil"/>
              <w:left w:val="nil"/>
              <w:bottom w:val="single" w:color="000000" w:sz="4" w:space="0"/>
              <w:right w:val="single" w:color="000000" w:sz="4" w:space="0"/>
            </w:tcBorders>
            <w:tcMar>
              <w:top w:w="15" w:type="dxa"/>
              <w:left w:w="105" w:type="dxa"/>
              <w:bottom w:w="15" w:type="dxa"/>
              <w:right w:w="105" w:type="dxa"/>
            </w:tcMar>
            <w:vAlign w:val="top"/>
          </w:tcPr>
          <w:p w14:paraId="66A01928">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安全分析服务</w:t>
            </w:r>
          </w:p>
        </w:tc>
        <w:tc>
          <w:tcPr>
            <w:tcW w:w="1390" w:type="dxa"/>
            <w:vMerge w:val="restart"/>
            <w:tcBorders>
              <w:top w:val="nil"/>
              <w:left w:val="nil"/>
              <w:bottom w:val="single" w:color="000000" w:sz="4" w:space="0"/>
              <w:right w:val="single" w:color="000000" w:sz="4" w:space="0"/>
            </w:tcBorders>
            <w:tcMar>
              <w:top w:w="15" w:type="dxa"/>
              <w:left w:w="105" w:type="dxa"/>
              <w:bottom w:w="15" w:type="dxa"/>
              <w:right w:w="105" w:type="dxa"/>
            </w:tcMar>
            <w:vAlign w:val="top"/>
          </w:tcPr>
          <w:p w14:paraId="1345CAB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安全数据分析服务</w:t>
            </w: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6AF1F2B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日志对接服务</w:t>
            </w:r>
          </w:p>
        </w:tc>
        <w:tc>
          <w:tcPr>
            <w:tcW w:w="3921" w:type="dxa"/>
            <w:vMerge w:val="restart"/>
            <w:tcBorders>
              <w:top w:val="nil"/>
              <w:left w:val="nil"/>
              <w:bottom w:val="nil"/>
              <w:right w:val="single" w:color="000000" w:sz="4" w:space="0"/>
            </w:tcBorders>
            <w:tcMar>
              <w:top w:w="15" w:type="dxa"/>
              <w:left w:w="105" w:type="dxa"/>
              <w:bottom w:w="15" w:type="dxa"/>
              <w:right w:w="105" w:type="dxa"/>
            </w:tcMar>
            <w:vAlign w:val="top"/>
          </w:tcPr>
          <w:p w14:paraId="36480FB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《福建省公安厅全省对接应用信息表》</w:t>
            </w:r>
          </w:p>
          <w:p w14:paraId="2181E6FB">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《福建省公安厅应用日志对接规范标准》</w:t>
            </w:r>
          </w:p>
          <w:p w14:paraId="3B03A1D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《安全数据质量监测巡检问题清单》</w:t>
            </w:r>
          </w:p>
          <w:p w14:paraId="63A7FA43">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《疑似违规使用公安信息数据通报》</w:t>
            </w:r>
          </w:p>
          <w:p w14:paraId="1D48D446">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《数据安全风险监测报告》</w:t>
            </w:r>
          </w:p>
        </w:tc>
      </w:tr>
      <w:tr w14:paraId="7F1B6F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04B87D8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751" w:type="dxa"/>
            <w:vMerge w:val="continue"/>
            <w:tcBorders>
              <w:top w:val="nil"/>
              <w:left w:val="nil"/>
              <w:bottom w:val="single" w:color="000000" w:sz="4" w:space="0"/>
              <w:right w:val="single" w:color="000000" w:sz="4" w:space="0"/>
            </w:tcBorders>
          </w:tcPr>
          <w:p w14:paraId="2DA46BCB">
            <w:pPr>
              <w:spacing w:line="360" w:lineRule="auto"/>
              <w:rPr>
                <w:rFonts w:hint="eastAsia" w:asciiTheme="minorEastAsia" w:hAnsiTheme="minorEastAsia" w:eastAsiaTheme="minorEastAsia" w:cstheme="minorEastAsia"/>
                <w:color w:val="auto"/>
                <w:sz w:val="24"/>
                <w:szCs w:val="24"/>
              </w:rPr>
            </w:pPr>
          </w:p>
        </w:tc>
        <w:tc>
          <w:tcPr>
            <w:tcW w:w="1390" w:type="dxa"/>
            <w:vMerge w:val="continue"/>
            <w:tcBorders>
              <w:top w:val="nil"/>
              <w:left w:val="nil"/>
              <w:bottom w:val="single" w:color="000000" w:sz="4" w:space="0"/>
              <w:right w:val="single" w:color="000000" w:sz="4" w:space="0"/>
            </w:tcBorders>
          </w:tcPr>
          <w:p w14:paraId="1166CAFD">
            <w:pPr>
              <w:spacing w:line="360" w:lineRule="auto"/>
              <w:rPr>
                <w:rFonts w:hint="eastAsia" w:asciiTheme="minorEastAsia" w:hAnsiTheme="minorEastAsia" w:eastAsiaTheme="minorEastAsia" w:cstheme="minorEastAsia"/>
                <w:color w:val="auto"/>
                <w:sz w:val="24"/>
                <w:szCs w:val="24"/>
              </w:rPr>
            </w:pP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023A286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采集终端审计及访问部系统日志服务</w:t>
            </w:r>
          </w:p>
        </w:tc>
        <w:tc>
          <w:tcPr>
            <w:tcW w:w="3921" w:type="dxa"/>
            <w:vMerge w:val="continue"/>
            <w:tcBorders>
              <w:top w:val="nil"/>
              <w:left w:val="nil"/>
              <w:bottom w:val="nil"/>
              <w:right w:val="single" w:color="000000" w:sz="4" w:space="0"/>
            </w:tcBorders>
          </w:tcPr>
          <w:p w14:paraId="6BCADE80">
            <w:pPr>
              <w:spacing w:line="360" w:lineRule="auto"/>
              <w:rPr>
                <w:rFonts w:hint="eastAsia" w:asciiTheme="minorEastAsia" w:hAnsiTheme="minorEastAsia" w:eastAsiaTheme="minorEastAsia" w:cstheme="minorEastAsia"/>
                <w:color w:val="auto"/>
                <w:sz w:val="24"/>
                <w:szCs w:val="24"/>
              </w:rPr>
            </w:pPr>
          </w:p>
        </w:tc>
      </w:tr>
      <w:tr w14:paraId="1D5AD5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07AF4A0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751" w:type="dxa"/>
            <w:vMerge w:val="continue"/>
            <w:tcBorders>
              <w:top w:val="nil"/>
              <w:left w:val="nil"/>
              <w:bottom w:val="single" w:color="000000" w:sz="4" w:space="0"/>
              <w:right w:val="single" w:color="000000" w:sz="4" w:space="0"/>
            </w:tcBorders>
          </w:tcPr>
          <w:p w14:paraId="6E03D614">
            <w:pPr>
              <w:spacing w:line="360" w:lineRule="auto"/>
              <w:rPr>
                <w:rFonts w:hint="eastAsia" w:asciiTheme="minorEastAsia" w:hAnsiTheme="minorEastAsia" w:eastAsiaTheme="minorEastAsia" w:cstheme="minorEastAsia"/>
                <w:color w:val="auto"/>
                <w:sz w:val="24"/>
                <w:szCs w:val="24"/>
              </w:rPr>
            </w:pPr>
          </w:p>
        </w:tc>
        <w:tc>
          <w:tcPr>
            <w:tcW w:w="1390" w:type="dxa"/>
            <w:vMerge w:val="continue"/>
            <w:tcBorders>
              <w:top w:val="nil"/>
              <w:left w:val="nil"/>
              <w:bottom w:val="single" w:color="000000" w:sz="4" w:space="0"/>
              <w:right w:val="single" w:color="000000" w:sz="4" w:space="0"/>
            </w:tcBorders>
          </w:tcPr>
          <w:p w14:paraId="50029331">
            <w:pPr>
              <w:spacing w:line="360" w:lineRule="auto"/>
              <w:rPr>
                <w:rFonts w:hint="eastAsia" w:asciiTheme="minorEastAsia" w:hAnsiTheme="minorEastAsia" w:eastAsiaTheme="minorEastAsia" w:cstheme="minorEastAsia"/>
                <w:color w:val="auto"/>
                <w:sz w:val="24"/>
                <w:szCs w:val="24"/>
              </w:rPr>
            </w:pP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7A49219E">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数据质量监测巡检服务</w:t>
            </w:r>
          </w:p>
        </w:tc>
        <w:tc>
          <w:tcPr>
            <w:tcW w:w="3921" w:type="dxa"/>
            <w:vMerge w:val="continue"/>
            <w:tcBorders>
              <w:top w:val="nil"/>
              <w:left w:val="nil"/>
              <w:bottom w:val="nil"/>
              <w:right w:val="single" w:color="000000" w:sz="4" w:space="0"/>
            </w:tcBorders>
          </w:tcPr>
          <w:p w14:paraId="38EF9BDA">
            <w:pPr>
              <w:spacing w:line="360" w:lineRule="auto"/>
              <w:rPr>
                <w:rFonts w:hint="eastAsia" w:asciiTheme="minorEastAsia" w:hAnsiTheme="minorEastAsia" w:eastAsiaTheme="minorEastAsia" w:cstheme="minorEastAsia"/>
                <w:color w:val="auto"/>
                <w:sz w:val="24"/>
                <w:szCs w:val="24"/>
              </w:rPr>
            </w:pPr>
          </w:p>
        </w:tc>
      </w:tr>
      <w:tr w14:paraId="296C5E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00EA868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751" w:type="dxa"/>
            <w:vMerge w:val="continue"/>
            <w:tcBorders>
              <w:top w:val="nil"/>
              <w:left w:val="nil"/>
              <w:bottom w:val="single" w:color="000000" w:sz="4" w:space="0"/>
              <w:right w:val="single" w:color="000000" w:sz="4" w:space="0"/>
            </w:tcBorders>
          </w:tcPr>
          <w:p w14:paraId="7B8D619D">
            <w:pPr>
              <w:spacing w:line="360" w:lineRule="auto"/>
              <w:rPr>
                <w:rFonts w:hint="eastAsia" w:asciiTheme="minorEastAsia" w:hAnsiTheme="minorEastAsia" w:eastAsiaTheme="minorEastAsia" w:cstheme="minorEastAsia"/>
                <w:color w:val="auto"/>
                <w:sz w:val="24"/>
                <w:szCs w:val="24"/>
              </w:rPr>
            </w:pPr>
          </w:p>
        </w:tc>
        <w:tc>
          <w:tcPr>
            <w:tcW w:w="1390" w:type="dxa"/>
            <w:vMerge w:val="continue"/>
            <w:tcBorders>
              <w:top w:val="nil"/>
              <w:left w:val="nil"/>
              <w:bottom w:val="single" w:color="000000" w:sz="4" w:space="0"/>
              <w:right w:val="single" w:color="000000" w:sz="4" w:space="0"/>
            </w:tcBorders>
          </w:tcPr>
          <w:p w14:paraId="00BED75E">
            <w:pPr>
              <w:spacing w:line="360" w:lineRule="auto"/>
              <w:rPr>
                <w:rFonts w:hint="eastAsia" w:asciiTheme="minorEastAsia" w:hAnsiTheme="minorEastAsia" w:eastAsiaTheme="minorEastAsia" w:cstheme="minorEastAsia"/>
                <w:color w:val="auto"/>
                <w:sz w:val="24"/>
                <w:szCs w:val="24"/>
              </w:rPr>
            </w:pP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280A803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安全大数据资源库服务</w:t>
            </w:r>
          </w:p>
        </w:tc>
        <w:tc>
          <w:tcPr>
            <w:tcW w:w="3921" w:type="dxa"/>
            <w:vMerge w:val="continue"/>
            <w:tcBorders>
              <w:top w:val="nil"/>
              <w:left w:val="nil"/>
              <w:bottom w:val="nil"/>
              <w:right w:val="single" w:color="000000" w:sz="4" w:space="0"/>
            </w:tcBorders>
          </w:tcPr>
          <w:p w14:paraId="22F268CD">
            <w:pPr>
              <w:spacing w:line="360" w:lineRule="auto"/>
              <w:rPr>
                <w:rFonts w:hint="eastAsia" w:asciiTheme="minorEastAsia" w:hAnsiTheme="minorEastAsia" w:eastAsiaTheme="minorEastAsia" w:cstheme="minorEastAsia"/>
                <w:color w:val="auto"/>
                <w:sz w:val="24"/>
                <w:szCs w:val="24"/>
              </w:rPr>
            </w:pPr>
          </w:p>
        </w:tc>
      </w:tr>
      <w:tr w14:paraId="79F7F7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7FA369A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751" w:type="dxa"/>
            <w:vMerge w:val="continue"/>
            <w:tcBorders>
              <w:top w:val="nil"/>
              <w:left w:val="nil"/>
              <w:bottom w:val="single" w:color="000000" w:sz="4" w:space="0"/>
              <w:right w:val="single" w:color="000000" w:sz="4" w:space="0"/>
            </w:tcBorders>
          </w:tcPr>
          <w:p w14:paraId="2523A036">
            <w:pPr>
              <w:spacing w:line="360" w:lineRule="auto"/>
              <w:rPr>
                <w:rFonts w:hint="eastAsia" w:asciiTheme="minorEastAsia" w:hAnsiTheme="minorEastAsia" w:eastAsiaTheme="minorEastAsia" w:cstheme="minorEastAsia"/>
                <w:color w:val="auto"/>
                <w:sz w:val="24"/>
                <w:szCs w:val="24"/>
              </w:rPr>
            </w:pPr>
          </w:p>
        </w:tc>
        <w:tc>
          <w:tcPr>
            <w:tcW w:w="1390" w:type="dxa"/>
            <w:vMerge w:val="continue"/>
            <w:tcBorders>
              <w:top w:val="nil"/>
              <w:left w:val="nil"/>
              <w:bottom w:val="single" w:color="000000" w:sz="4" w:space="0"/>
              <w:right w:val="single" w:color="000000" w:sz="4" w:space="0"/>
            </w:tcBorders>
          </w:tcPr>
          <w:p w14:paraId="4A417FD3">
            <w:pPr>
              <w:spacing w:line="360" w:lineRule="auto"/>
              <w:rPr>
                <w:rFonts w:hint="eastAsia" w:asciiTheme="minorEastAsia" w:hAnsiTheme="minorEastAsia" w:eastAsiaTheme="minorEastAsia" w:cstheme="minorEastAsia"/>
                <w:color w:val="auto"/>
                <w:sz w:val="24"/>
                <w:szCs w:val="24"/>
              </w:rPr>
            </w:pP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0C1DBF4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应用统计分析服务</w:t>
            </w:r>
          </w:p>
        </w:tc>
        <w:tc>
          <w:tcPr>
            <w:tcW w:w="3921" w:type="dxa"/>
            <w:vMerge w:val="continue"/>
            <w:tcBorders>
              <w:top w:val="nil"/>
              <w:left w:val="nil"/>
              <w:bottom w:val="nil"/>
              <w:right w:val="single" w:color="000000" w:sz="4" w:space="0"/>
            </w:tcBorders>
          </w:tcPr>
          <w:p w14:paraId="2B17D2B8">
            <w:pPr>
              <w:spacing w:line="360" w:lineRule="auto"/>
              <w:rPr>
                <w:rFonts w:hint="eastAsia" w:asciiTheme="minorEastAsia" w:hAnsiTheme="minorEastAsia" w:eastAsiaTheme="minorEastAsia" w:cstheme="minorEastAsia"/>
                <w:color w:val="auto"/>
                <w:sz w:val="24"/>
                <w:szCs w:val="24"/>
              </w:rPr>
            </w:pPr>
          </w:p>
        </w:tc>
      </w:tr>
      <w:tr w14:paraId="54E4F5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4FD8BA1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751" w:type="dxa"/>
            <w:vMerge w:val="continue"/>
            <w:tcBorders>
              <w:top w:val="nil"/>
              <w:left w:val="nil"/>
              <w:bottom w:val="single" w:color="000000" w:sz="4" w:space="0"/>
              <w:right w:val="single" w:color="000000" w:sz="4" w:space="0"/>
            </w:tcBorders>
          </w:tcPr>
          <w:p w14:paraId="54114411">
            <w:pPr>
              <w:spacing w:line="360" w:lineRule="auto"/>
              <w:rPr>
                <w:rFonts w:hint="eastAsia" w:asciiTheme="minorEastAsia" w:hAnsiTheme="minorEastAsia" w:eastAsiaTheme="minorEastAsia" w:cstheme="minorEastAsia"/>
                <w:color w:val="auto"/>
                <w:sz w:val="24"/>
                <w:szCs w:val="24"/>
              </w:rPr>
            </w:pPr>
          </w:p>
        </w:tc>
        <w:tc>
          <w:tcPr>
            <w:tcW w:w="1390" w:type="dxa"/>
            <w:vMerge w:val="continue"/>
            <w:tcBorders>
              <w:top w:val="nil"/>
              <w:left w:val="nil"/>
              <w:bottom w:val="single" w:color="000000" w:sz="4" w:space="0"/>
              <w:right w:val="single" w:color="000000" w:sz="4" w:space="0"/>
            </w:tcBorders>
          </w:tcPr>
          <w:p w14:paraId="667BF69E">
            <w:pPr>
              <w:spacing w:line="360" w:lineRule="auto"/>
              <w:rPr>
                <w:rFonts w:hint="eastAsia" w:asciiTheme="minorEastAsia" w:hAnsiTheme="minorEastAsia" w:eastAsiaTheme="minorEastAsia" w:cstheme="minorEastAsia"/>
                <w:color w:val="auto"/>
                <w:sz w:val="24"/>
                <w:szCs w:val="24"/>
              </w:rPr>
            </w:pP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16C3D31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违规使用公安信息数据建模及预警通报服务</w:t>
            </w:r>
          </w:p>
        </w:tc>
        <w:tc>
          <w:tcPr>
            <w:tcW w:w="3921" w:type="dxa"/>
            <w:vMerge w:val="continue"/>
            <w:tcBorders>
              <w:top w:val="nil"/>
              <w:left w:val="nil"/>
              <w:bottom w:val="nil"/>
              <w:right w:val="single" w:color="000000" w:sz="4" w:space="0"/>
            </w:tcBorders>
          </w:tcPr>
          <w:p w14:paraId="310078CE">
            <w:pPr>
              <w:spacing w:line="360" w:lineRule="auto"/>
              <w:rPr>
                <w:rFonts w:hint="eastAsia" w:asciiTheme="minorEastAsia" w:hAnsiTheme="minorEastAsia" w:eastAsiaTheme="minorEastAsia" w:cstheme="minorEastAsia"/>
                <w:color w:val="auto"/>
                <w:sz w:val="24"/>
                <w:szCs w:val="24"/>
              </w:rPr>
            </w:pPr>
          </w:p>
        </w:tc>
      </w:tr>
      <w:tr w14:paraId="664C15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29AE670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751" w:type="dxa"/>
            <w:vMerge w:val="continue"/>
            <w:tcBorders>
              <w:top w:val="nil"/>
              <w:left w:val="nil"/>
              <w:bottom w:val="single" w:color="000000" w:sz="4" w:space="0"/>
              <w:right w:val="single" w:color="000000" w:sz="4" w:space="0"/>
            </w:tcBorders>
          </w:tcPr>
          <w:p w14:paraId="18BD8832">
            <w:pPr>
              <w:spacing w:line="360" w:lineRule="auto"/>
              <w:rPr>
                <w:rFonts w:hint="eastAsia" w:asciiTheme="minorEastAsia" w:hAnsiTheme="minorEastAsia" w:eastAsiaTheme="minorEastAsia" w:cstheme="minorEastAsia"/>
                <w:color w:val="auto"/>
                <w:sz w:val="24"/>
                <w:szCs w:val="24"/>
              </w:rPr>
            </w:pPr>
          </w:p>
        </w:tc>
        <w:tc>
          <w:tcPr>
            <w:tcW w:w="1390" w:type="dxa"/>
            <w:vMerge w:val="continue"/>
            <w:tcBorders>
              <w:top w:val="nil"/>
              <w:left w:val="nil"/>
              <w:bottom w:val="single" w:color="000000" w:sz="4" w:space="0"/>
              <w:right w:val="single" w:color="000000" w:sz="4" w:space="0"/>
            </w:tcBorders>
          </w:tcPr>
          <w:p w14:paraId="17468B6C">
            <w:pPr>
              <w:spacing w:line="360" w:lineRule="auto"/>
              <w:rPr>
                <w:rFonts w:hint="eastAsia" w:asciiTheme="minorEastAsia" w:hAnsiTheme="minorEastAsia" w:eastAsiaTheme="minorEastAsia" w:cstheme="minorEastAsia"/>
                <w:color w:val="auto"/>
                <w:sz w:val="24"/>
                <w:szCs w:val="24"/>
              </w:rPr>
            </w:pP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1C2B458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数据安全风险评估服务</w:t>
            </w:r>
          </w:p>
        </w:tc>
        <w:tc>
          <w:tcPr>
            <w:tcW w:w="3921" w:type="dxa"/>
            <w:vMerge w:val="continue"/>
            <w:tcBorders>
              <w:top w:val="nil"/>
              <w:left w:val="nil"/>
              <w:bottom w:val="nil"/>
              <w:right w:val="single" w:color="000000" w:sz="4" w:space="0"/>
            </w:tcBorders>
          </w:tcPr>
          <w:p w14:paraId="5FADB246">
            <w:pPr>
              <w:spacing w:line="360" w:lineRule="auto"/>
              <w:rPr>
                <w:rFonts w:hint="eastAsia" w:asciiTheme="minorEastAsia" w:hAnsiTheme="minorEastAsia" w:eastAsiaTheme="minorEastAsia" w:cstheme="minorEastAsia"/>
                <w:color w:val="auto"/>
                <w:sz w:val="24"/>
                <w:szCs w:val="24"/>
              </w:rPr>
            </w:pPr>
          </w:p>
        </w:tc>
      </w:tr>
      <w:tr w14:paraId="1B22B3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1008B42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751" w:type="dxa"/>
            <w:vMerge w:val="continue"/>
            <w:tcBorders>
              <w:top w:val="nil"/>
              <w:left w:val="nil"/>
              <w:bottom w:val="single" w:color="000000" w:sz="4" w:space="0"/>
              <w:right w:val="single" w:color="000000" w:sz="4" w:space="0"/>
            </w:tcBorders>
          </w:tcPr>
          <w:p w14:paraId="75513C1F">
            <w:pPr>
              <w:spacing w:line="360" w:lineRule="auto"/>
              <w:rPr>
                <w:rFonts w:hint="eastAsia" w:asciiTheme="minorEastAsia" w:hAnsiTheme="minorEastAsia" w:eastAsiaTheme="minorEastAsia" w:cstheme="minorEastAsia"/>
                <w:color w:val="auto"/>
                <w:sz w:val="24"/>
                <w:szCs w:val="24"/>
              </w:rPr>
            </w:pPr>
          </w:p>
        </w:tc>
        <w:tc>
          <w:tcPr>
            <w:tcW w:w="1390" w:type="dxa"/>
            <w:vMerge w:val="restart"/>
            <w:tcBorders>
              <w:top w:val="nil"/>
              <w:left w:val="nil"/>
              <w:bottom w:val="single" w:color="000000" w:sz="4" w:space="0"/>
              <w:right w:val="single" w:color="000000" w:sz="4" w:space="0"/>
            </w:tcBorders>
            <w:tcMar>
              <w:top w:w="15" w:type="dxa"/>
              <w:left w:w="105" w:type="dxa"/>
              <w:bottom w:w="15" w:type="dxa"/>
              <w:right w:w="105" w:type="dxa"/>
            </w:tcMar>
            <w:vAlign w:val="top"/>
          </w:tcPr>
          <w:p w14:paraId="020E7B3D">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资产及暴露面探测服务</w:t>
            </w: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39D0937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资产梳理</w:t>
            </w:r>
          </w:p>
        </w:tc>
        <w:tc>
          <w:tcPr>
            <w:tcW w:w="3921" w:type="dxa"/>
            <w:vMerge w:val="restart"/>
            <w:tcBorders>
              <w:top w:val="nil"/>
              <w:left w:val="nil"/>
              <w:bottom w:val="single" w:color="000000" w:sz="4" w:space="0"/>
              <w:right w:val="single" w:color="000000" w:sz="4" w:space="0"/>
            </w:tcBorders>
            <w:tcMar>
              <w:top w:w="15" w:type="dxa"/>
              <w:left w:w="105" w:type="dxa"/>
              <w:bottom w:w="15" w:type="dxa"/>
              <w:right w:w="105" w:type="dxa"/>
            </w:tcMar>
            <w:vAlign w:val="top"/>
          </w:tcPr>
          <w:p w14:paraId="350E578D">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《福建省公安厅应用资产表》《福建省公安厅主机资产表》《福建省公安厅资产暴漏面探测报告》</w:t>
            </w:r>
          </w:p>
        </w:tc>
      </w:tr>
      <w:tr w14:paraId="17A32B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3931C56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751" w:type="dxa"/>
            <w:vMerge w:val="continue"/>
            <w:tcBorders>
              <w:top w:val="nil"/>
              <w:left w:val="nil"/>
              <w:bottom w:val="single" w:color="000000" w:sz="4" w:space="0"/>
              <w:right w:val="single" w:color="000000" w:sz="4" w:space="0"/>
            </w:tcBorders>
          </w:tcPr>
          <w:p w14:paraId="7034DC53">
            <w:pPr>
              <w:spacing w:line="360" w:lineRule="auto"/>
              <w:rPr>
                <w:rFonts w:hint="eastAsia" w:asciiTheme="minorEastAsia" w:hAnsiTheme="minorEastAsia" w:eastAsiaTheme="minorEastAsia" w:cstheme="minorEastAsia"/>
                <w:color w:val="auto"/>
                <w:sz w:val="24"/>
                <w:szCs w:val="24"/>
              </w:rPr>
            </w:pPr>
          </w:p>
        </w:tc>
        <w:tc>
          <w:tcPr>
            <w:tcW w:w="1390" w:type="dxa"/>
            <w:vMerge w:val="continue"/>
            <w:tcBorders>
              <w:top w:val="nil"/>
              <w:left w:val="nil"/>
              <w:bottom w:val="single" w:color="000000" w:sz="4" w:space="0"/>
              <w:right w:val="single" w:color="000000" w:sz="4" w:space="0"/>
            </w:tcBorders>
          </w:tcPr>
          <w:p w14:paraId="787F42F3">
            <w:pPr>
              <w:spacing w:line="360" w:lineRule="auto"/>
              <w:rPr>
                <w:rFonts w:hint="eastAsia" w:asciiTheme="minorEastAsia" w:hAnsiTheme="minorEastAsia" w:eastAsiaTheme="minorEastAsia" w:cstheme="minorEastAsia"/>
                <w:color w:val="auto"/>
                <w:sz w:val="24"/>
                <w:szCs w:val="24"/>
              </w:rPr>
            </w:pP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4EFBE29E">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暴露面分析</w:t>
            </w:r>
          </w:p>
        </w:tc>
        <w:tc>
          <w:tcPr>
            <w:tcW w:w="3921" w:type="dxa"/>
            <w:vMerge w:val="continue"/>
            <w:tcBorders>
              <w:top w:val="nil"/>
              <w:left w:val="nil"/>
              <w:bottom w:val="single" w:color="000000" w:sz="4" w:space="0"/>
              <w:right w:val="single" w:color="000000" w:sz="4" w:space="0"/>
            </w:tcBorders>
          </w:tcPr>
          <w:p w14:paraId="594D752A">
            <w:pPr>
              <w:spacing w:line="360" w:lineRule="auto"/>
              <w:rPr>
                <w:rFonts w:hint="eastAsia" w:asciiTheme="minorEastAsia" w:hAnsiTheme="minorEastAsia" w:eastAsiaTheme="minorEastAsia" w:cstheme="minorEastAsia"/>
                <w:color w:val="auto"/>
                <w:sz w:val="24"/>
                <w:szCs w:val="24"/>
              </w:rPr>
            </w:pPr>
          </w:p>
        </w:tc>
      </w:tr>
      <w:tr w14:paraId="772E1B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563B397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w:t>
            </w:r>
          </w:p>
        </w:tc>
        <w:tc>
          <w:tcPr>
            <w:tcW w:w="751" w:type="dxa"/>
            <w:vMerge w:val="continue"/>
            <w:tcBorders>
              <w:top w:val="nil"/>
              <w:left w:val="nil"/>
              <w:bottom w:val="single" w:color="000000" w:sz="4" w:space="0"/>
              <w:right w:val="single" w:color="000000" w:sz="4" w:space="0"/>
            </w:tcBorders>
          </w:tcPr>
          <w:p w14:paraId="7B32DFB1">
            <w:pPr>
              <w:spacing w:line="360" w:lineRule="auto"/>
              <w:rPr>
                <w:rFonts w:hint="eastAsia" w:asciiTheme="minorEastAsia" w:hAnsiTheme="minorEastAsia" w:eastAsiaTheme="minorEastAsia" w:cstheme="minorEastAsia"/>
                <w:color w:val="auto"/>
                <w:sz w:val="24"/>
                <w:szCs w:val="24"/>
              </w:rPr>
            </w:pPr>
          </w:p>
        </w:tc>
        <w:tc>
          <w:tcPr>
            <w:tcW w:w="1390"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059678D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实战化渗透测试服务</w:t>
            </w: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6FD4CA8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实战化渗透测试</w:t>
            </w:r>
          </w:p>
        </w:tc>
        <w:tc>
          <w:tcPr>
            <w:tcW w:w="392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37B33240">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《福建省公安厅网络安全设备资产表》</w:t>
            </w:r>
          </w:p>
        </w:tc>
      </w:tr>
      <w:tr w14:paraId="3121AE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3D6532D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w:t>
            </w:r>
          </w:p>
        </w:tc>
        <w:tc>
          <w:tcPr>
            <w:tcW w:w="751" w:type="dxa"/>
            <w:vMerge w:val="continue"/>
            <w:tcBorders>
              <w:top w:val="nil"/>
              <w:left w:val="nil"/>
              <w:bottom w:val="single" w:color="000000" w:sz="4" w:space="0"/>
              <w:right w:val="single" w:color="000000" w:sz="4" w:space="0"/>
            </w:tcBorders>
          </w:tcPr>
          <w:p w14:paraId="38B6B7C3">
            <w:pPr>
              <w:spacing w:line="360" w:lineRule="auto"/>
              <w:rPr>
                <w:rFonts w:hint="eastAsia" w:asciiTheme="minorEastAsia" w:hAnsiTheme="minorEastAsia" w:eastAsiaTheme="minorEastAsia" w:cstheme="minorEastAsia"/>
                <w:color w:val="auto"/>
                <w:sz w:val="24"/>
                <w:szCs w:val="24"/>
              </w:rPr>
            </w:pPr>
          </w:p>
        </w:tc>
        <w:tc>
          <w:tcPr>
            <w:tcW w:w="1390"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6EF2451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安全攻防演练服务</w:t>
            </w: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4E55F44A">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安全攻防演练保障</w:t>
            </w:r>
          </w:p>
        </w:tc>
        <w:tc>
          <w:tcPr>
            <w:tcW w:w="392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4E28FDDB">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《福建省公安厅基础网络攻防演练方案》《福建省公安厅基础网络攻防演练报告》《漏洞清单》</w:t>
            </w:r>
          </w:p>
        </w:tc>
      </w:tr>
      <w:tr w14:paraId="36E6AF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25B5E2F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w:t>
            </w:r>
          </w:p>
        </w:tc>
        <w:tc>
          <w:tcPr>
            <w:tcW w:w="751" w:type="dxa"/>
            <w:vMerge w:val="continue"/>
            <w:tcBorders>
              <w:top w:val="nil"/>
              <w:left w:val="nil"/>
              <w:bottom w:val="single" w:color="000000" w:sz="4" w:space="0"/>
              <w:right w:val="single" w:color="000000" w:sz="4" w:space="0"/>
            </w:tcBorders>
          </w:tcPr>
          <w:p w14:paraId="6EB82879">
            <w:pPr>
              <w:spacing w:line="360" w:lineRule="auto"/>
              <w:rPr>
                <w:rFonts w:hint="eastAsia" w:asciiTheme="minorEastAsia" w:hAnsiTheme="minorEastAsia" w:eastAsiaTheme="minorEastAsia" w:cstheme="minorEastAsia"/>
                <w:color w:val="auto"/>
                <w:sz w:val="24"/>
                <w:szCs w:val="24"/>
              </w:rPr>
            </w:pPr>
          </w:p>
        </w:tc>
        <w:tc>
          <w:tcPr>
            <w:tcW w:w="1390"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236B2F3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漏洞挖掘服务</w:t>
            </w: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26C9386F">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漏洞挖掘</w:t>
            </w:r>
          </w:p>
        </w:tc>
        <w:tc>
          <w:tcPr>
            <w:tcW w:w="392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7B4F486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《漏洞清单》</w:t>
            </w:r>
          </w:p>
        </w:tc>
      </w:tr>
      <w:tr w14:paraId="0DA3CA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5311FF3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w:t>
            </w:r>
          </w:p>
        </w:tc>
        <w:tc>
          <w:tcPr>
            <w:tcW w:w="751" w:type="dxa"/>
            <w:vMerge w:val="restart"/>
            <w:tcBorders>
              <w:top w:val="nil"/>
              <w:left w:val="nil"/>
              <w:bottom w:val="single" w:color="000000" w:sz="4" w:space="0"/>
              <w:right w:val="single" w:color="000000" w:sz="4" w:space="0"/>
            </w:tcBorders>
            <w:tcMar>
              <w:top w:w="15" w:type="dxa"/>
              <w:left w:w="105" w:type="dxa"/>
              <w:bottom w:w="15" w:type="dxa"/>
              <w:right w:w="105" w:type="dxa"/>
            </w:tcMar>
            <w:vAlign w:val="top"/>
          </w:tcPr>
          <w:p w14:paraId="1BA22F1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安全通报服务</w:t>
            </w:r>
          </w:p>
        </w:tc>
        <w:tc>
          <w:tcPr>
            <w:tcW w:w="1390"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07848C5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安全事件处置服务</w:t>
            </w: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1289B80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重大安全事件保障</w:t>
            </w:r>
          </w:p>
        </w:tc>
        <w:tc>
          <w:tcPr>
            <w:tcW w:w="392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0F4785D0">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《福建省公安厅信息安全应急响应预案》《福建省公安厅信息安全应急响应报告》</w:t>
            </w:r>
          </w:p>
        </w:tc>
      </w:tr>
      <w:tr w14:paraId="067AE1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0283EC9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w:t>
            </w:r>
          </w:p>
        </w:tc>
        <w:tc>
          <w:tcPr>
            <w:tcW w:w="751" w:type="dxa"/>
            <w:vMerge w:val="continue"/>
            <w:tcBorders>
              <w:top w:val="nil"/>
              <w:left w:val="nil"/>
              <w:bottom w:val="single" w:color="000000" w:sz="4" w:space="0"/>
              <w:right w:val="single" w:color="000000" w:sz="4" w:space="0"/>
            </w:tcBorders>
          </w:tcPr>
          <w:p w14:paraId="7F6E13F7">
            <w:pPr>
              <w:spacing w:line="360" w:lineRule="auto"/>
              <w:rPr>
                <w:rFonts w:hint="eastAsia" w:asciiTheme="minorEastAsia" w:hAnsiTheme="minorEastAsia" w:eastAsiaTheme="minorEastAsia" w:cstheme="minorEastAsia"/>
                <w:color w:val="auto"/>
                <w:sz w:val="24"/>
                <w:szCs w:val="24"/>
              </w:rPr>
            </w:pPr>
          </w:p>
        </w:tc>
        <w:tc>
          <w:tcPr>
            <w:tcW w:w="1390"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6050D103">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公安信息安全态势报告</w:t>
            </w: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75314A5A">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公安信息安全态势报告</w:t>
            </w:r>
          </w:p>
        </w:tc>
        <w:tc>
          <w:tcPr>
            <w:tcW w:w="392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0C725DA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《福建省公安厅公安信息网络安全季报》《福建省公安厅公安信息网络安全年报》《福建省公安信息安全态势报告》</w:t>
            </w:r>
          </w:p>
        </w:tc>
      </w:tr>
      <w:tr w14:paraId="41C45E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4B5E644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w:t>
            </w:r>
          </w:p>
        </w:tc>
        <w:tc>
          <w:tcPr>
            <w:tcW w:w="751" w:type="dxa"/>
            <w:vMerge w:val="continue"/>
            <w:tcBorders>
              <w:top w:val="nil"/>
              <w:left w:val="nil"/>
              <w:bottom w:val="single" w:color="000000" w:sz="4" w:space="0"/>
              <w:right w:val="single" w:color="000000" w:sz="4" w:space="0"/>
            </w:tcBorders>
          </w:tcPr>
          <w:p w14:paraId="693A4773">
            <w:pPr>
              <w:spacing w:line="360" w:lineRule="auto"/>
              <w:rPr>
                <w:rFonts w:hint="eastAsia" w:asciiTheme="minorEastAsia" w:hAnsiTheme="minorEastAsia" w:eastAsiaTheme="minorEastAsia" w:cstheme="minorEastAsia"/>
                <w:color w:val="auto"/>
                <w:sz w:val="24"/>
                <w:szCs w:val="24"/>
              </w:rPr>
            </w:pPr>
          </w:p>
        </w:tc>
        <w:tc>
          <w:tcPr>
            <w:tcW w:w="1390"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0E287870">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安全威胁情报服务</w:t>
            </w: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3E1D8BD4">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安全威胁情报</w:t>
            </w:r>
          </w:p>
        </w:tc>
        <w:tc>
          <w:tcPr>
            <w:tcW w:w="392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055F570B">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《网络安全威胁情报通报》</w:t>
            </w:r>
          </w:p>
        </w:tc>
      </w:tr>
      <w:tr w14:paraId="51B829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45AF907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w:t>
            </w:r>
          </w:p>
        </w:tc>
        <w:tc>
          <w:tcPr>
            <w:tcW w:w="751" w:type="dxa"/>
            <w:vMerge w:val="continue"/>
            <w:tcBorders>
              <w:top w:val="nil"/>
              <w:left w:val="nil"/>
              <w:bottom w:val="single" w:color="000000" w:sz="4" w:space="0"/>
              <w:right w:val="single" w:color="000000" w:sz="4" w:space="0"/>
            </w:tcBorders>
          </w:tcPr>
          <w:p w14:paraId="2DB71E28">
            <w:pPr>
              <w:spacing w:line="360" w:lineRule="auto"/>
              <w:rPr>
                <w:rFonts w:hint="eastAsia" w:asciiTheme="minorEastAsia" w:hAnsiTheme="minorEastAsia" w:eastAsiaTheme="minorEastAsia" w:cstheme="minorEastAsia"/>
                <w:color w:val="auto"/>
                <w:sz w:val="24"/>
                <w:szCs w:val="24"/>
              </w:rPr>
            </w:pPr>
          </w:p>
        </w:tc>
        <w:tc>
          <w:tcPr>
            <w:tcW w:w="1390"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0E96B1C8">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安全通告服务</w:t>
            </w: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31DA6FCD">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安全通告</w:t>
            </w:r>
          </w:p>
        </w:tc>
        <w:tc>
          <w:tcPr>
            <w:tcW w:w="392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1E9D58B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《漏洞清单》</w:t>
            </w:r>
          </w:p>
        </w:tc>
      </w:tr>
      <w:tr w14:paraId="64119F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440D3EC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w:t>
            </w:r>
          </w:p>
        </w:tc>
        <w:tc>
          <w:tcPr>
            <w:tcW w:w="751" w:type="dxa"/>
            <w:vMerge w:val="restart"/>
            <w:tcBorders>
              <w:top w:val="nil"/>
              <w:left w:val="nil"/>
              <w:bottom w:val="single" w:color="000000" w:sz="4" w:space="0"/>
              <w:right w:val="single" w:color="000000" w:sz="4" w:space="0"/>
            </w:tcBorders>
            <w:tcMar>
              <w:top w:w="15" w:type="dxa"/>
              <w:left w:w="105" w:type="dxa"/>
              <w:bottom w:w="15" w:type="dxa"/>
              <w:right w:w="105" w:type="dxa"/>
            </w:tcMar>
            <w:vAlign w:val="top"/>
          </w:tcPr>
          <w:p w14:paraId="23B557D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安全运维服务</w:t>
            </w:r>
          </w:p>
        </w:tc>
        <w:tc>
          <w:tcPr>
            <w:tcW w:w="1390" w:type="dxa"/>
            <w:vMerge w:val="restart"/>
            <w:tcBorders>
              <w:top w:val="nil"/>
              <w:left w:val="nil"/>
              <w:bottom w:val="single" w:color="000000" w:sz="4" w:space="0"/>
              <w:right w:val="single" w:color="000000" w:sz="4" w:space="0"/>
            </w:tcBorders>
            <w:tcMar>
              <w:top w:w="15" w:type="dxa"/>
              <w:left w:w="105" w:type="dxa"/>
              <w:bottom w:w="15" w:type="dxa"/>
              <w:right w:w="105" w:type="dxa"/>
            </w:tcMar>
            <w:vAlign w:val="top"/>
          </w:tcPr>
          <w:p w14:paraId="342E45B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安全现场技术服务</w:t>
            </w: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3CAEEBB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日常监测及巡检</w:t>
            </w:r>
          </w:p>
        </w:tc>
        <w:tc>
          <w:tcPr>
            <w:tcW w:w="392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6D347AF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《日常巡检监测报告》</w:t>
            </w:r>
          </w:p>
        </w:tc>
      </w:tr>
      <w:tr w14:paraId="7C1A00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3A9D31A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p>
        </w:tc>
        <w:tc>
          <w:tcPr>
            <w:tcW w:w="751" w:type="dxa"/>
            <w:vMerge w:val="continue"/>
            <w:tcBorders>
              <w:top w:val="nil"/>
              <w:left w:val="nil"/>
              <w:bottom w:val="single" w:color="000000" w:sz="4" w:space="0"/>
              <w:right w:val="single" w:color="000000" w:sz="4" w:space="0"/>
            </w:tcBorders>
          </w:tcPr>
          <w:p w14:paraId="20214DEF">
            <w:pPr>
              <w:spacing w:line="360" w:lineRule="auto"/>
              <w:rPr>
                <w:rFonts w:hint="eastAsia" w:asciiTheme="minorEastAsia" w:hAnsiTheme="minorEastAsia" w:eastAsiaTheme="minorEastAsia" w:cstheme="minorEastAsia"/>
                <w:color w:val="auto"/>
                <w:sz w:val="24"/>
                <w:szCs w:val="24"/>
              </w:rPr>
            </w:pPr>
          </w:p>
        </w:tc>
        <w:tc>
          <w:tcPr>
            <w:tcW w:w="1390" w:type="dxa"/>
            <w:vMerge w:val="continue"/>
            <w:tcBorders>
              <w:top w:val="nil"/>
              <w:left w:val="nil"/>
              <w:bottom w:val="single" w:color="000000" w:sz="4" w:space="0"/>
              <w:right w:val="single" w:color="000000" w:sz="4" w:space="0"/>
            </w:tcBorders>
          </w:tcPr>
          <w:p w14:paraId="7BA7D2D5">
            <w:pPr>
              <w:spacing w:line="360" w:lineRule="auto"/>
              <w:rPr>
                <w:rFonts w:hint="eastAsia" w:asciiTheme="minorEastAsia" w:hAnsiTheme="minorEastAsia" w:eastAsiaTheme="minorEastAsia" w:cstheme="minorEastAsia"/>
                <w:color w:val="auto"/>
                <w:sz w:val="24"/>
                <w:szCs w:val="24"/>
              </w:rPr>
            </w:pP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52008F9F">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日常安全保障与响应</w:t>
            </w:r>
          </w:p>
        </w:tc>
        <w:tc>
          <w:tcPr>
            <w:tcW w:w="392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0837892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《日常安全事务/事件处置报告》《福建省公安厅部安全考核年度报告》《福建省公安厅各地市安全考核年度报告》</w:t>
            </w:r>
          </w:p>
        </w:tc>
      </w:tr>
      <w:tr w14:paraId="5CFAA6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798ED94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w:t>
            </w:r>
          </w:p>
        </w:tc>
        <w:tc>
          <w:tcPr>
            <w:tcW w:w="751" w:type="dxa"/>
            <w:vMerge w:val="continue"/>
            <w:tcBorders>
              <w:top w:val="nil"/>
              <w:left w:val="nil"/>
              <w:bottom w:val="single" w:color="000000" w:sz="4" w:space="0"/>
              <w:right w:val="single" w:color="000000" w:sz="4" w:space="0"/>
            </w:tcBorders>
          </w:tcPr>
          <w:p w14:paraId="41EF00BC">
            <w:pPr>
              <w:spacing w:line="360" w:lineRule="auto"/>
              <w:rPr>
                <w:rFonts w:hint="eastAsia" w:asciiTheme="minorEastAsia" w:hAnsiTheme="minorEastAsia" w:eastAsiaTheme="minorEastAsia" w:cstheme="minorEastAsia"/>
                <w:color w:val="auto"/>
                <w:sz w:val="24"/>
                <w:szCs w:val="24"/>
              </w:rPr>
            </w:pPr>
          </w:p>
        </w:tc>
        <w:tc>
          <w:tcPr>
            <w:tcW w:w="1390" w:type="dxa"/>
            <w:vMerge w:val="continue"/>
            <w:tcBorders>
              <w:top w:val="nil"/>
              <w:left w:val="nil"/>
              <w:bottom w:val="single" w:color="000000" w:sz="4" w:space="0"/>
              <w:right w:val="single" w:color="000000" w:sz="4" w:space="0"/>
            </w:tcBorders>
          </w:tcPr>
          <w:p w14:paraId="26888546">
            <w:pPr>
              <w:spacing w:line="360" w:lineRule="auto"/>
              <w:rPr>
                <w:rFonts w:hint="eastAsia" w:asciiTheme="minorEastAsia" w:hAnsiTheme="minorEastAsia" w:eastAsiaTheme="minorEastAsia" w:cstheme="minorEastAsia"/>
                <w:color w:val="auto"/>
                <w:sz w:val="24"/>
                <w:szCs w:val="24"/>
              </w:rPr>
            </w:pP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0DDB047E">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日常数据安全保障</w:t>
            </w:r>
          </w:p>
        </w:tc>
        <w:tc>
          <w:tcPr>
            <w:tcW w:w="392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54E7707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《福建省公安厅信息化合作企业和人员日常巡检表》《福建省公安厅应用行为数据日常巡检表》《福建省公安厅信息安全资产日志审计报表》</w:t>
            </w:r>
          </w:p>
        </w:tc>
      </w:tr>
      <w:tr w14:paraId="158C42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490199B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w:t>
            </w:r>
          </w:p>
        </w:tc>
        <w:tc>
          <w:tcPr>
            <w:tcW w:w="751" w:type="dxa"/>
            <w:vMerge w:val="continue"/>
            <w:tcBorders>
              <w:top w:val="nil"/>
              <w:left w:val="nil"/>
              <w:bottom w:val="single" w:color="000000" w:sz="4" w:space="0"/>
              <w:right w:val="single" w:color="000000" w:sz="4" w:space="0"/>
            </w:tcBorders>
          </w:tcPr>
          <w:p w14:paraId="1671DFB3">
            <w:pPr>
              <w:spacing w:line="360" w:lineRule="auto"/>
              <w:rPr>
                <w:rFonts w:hint="eastAsia" w:asciiTheme="minorEastAsia" w:hAnsiTheme="minorEastAsia" w:eastAsiaTheme="minorEastAsia" w:cstheme="minorEastAsia"/>
                <w:color w:val="auto"/>
                <w:sz w:val="24"/>
                <w:szCs w:val="24"/>
              </w:rPr>
            </w:pPr>
          </w:p>
        </w:tc>
        <w:tc>
          <w:tcPr>
            <w:tcW w:w="1390" w:type="dxa"/>
            <w:vMerge w:val="continue"/>
            <w:tcBorders>
              <w:top w:val="nil"/>
              <w:left w:val="nil"/>
              <w:bottom w:val="single" w:color="000000" w:sz="4" w:space="0"/>
              <w:right w:val="single" w:color="000000" w:sz="4" w:space="0"/>
            </w:tcBorders>
          </w:tcPr>
          <w:p w14:paraId="0CD217C4">
            <w:pPr>
              <w:spacing w:line="360" w:lineRule="auto"/>
              <w:rPr>
                <w:rFonts w:hint="eastAsia" w:asciiTheme="minorEastAsia" w:hAnsiTheme="minorEastAsia" w:eastAsiaTheme="minorEastAsia" w:cstheme="minorEastAsia"/>
                <w:color w:val="auto"/>
                <w:sz w:val="24"/>
                <w:szCs w:val="24"/>
              </w:rPr>
            </w:pP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3861B37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合作企业和人员安全监管</w:t>
            </w:r>
          </w:p>
        </w:tc>
        <w:tc>
          <w:tcPr>
            <w:tcW w:w="392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15111DDA">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《福建省公安厅信息化合作企业信息年度汇总表》《福建省公安厅信息化合作企业人员背景审核汇总表》《厅运维基地人员操作异常行为分析报告》</w:t>
            </w:r>
          </w:p>
        </w:tc>
      </w:tr>
      <w:tr w14:paraId="461444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72D6AAF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w:t>
            </w:r>
          </w:p>
        </w:tc>
        <w:tc>
          <w:tcPr>
            <w:tcW w:w="751" w:type="dxa"/>
            <w:vMerge w:val="continue"/>
            <w:tcBorders>
              <w:top w:val="nil"/>
              <w:left w:val="nil"/>
              <w:bottom w:val="single" w:color="000000" w:sz="4" w:space="0"/>
              <w:right w:val="single" w:color="000000" w:sz="4" w:space="0"/>
            </w:tcBorders>
          </w:tcPr>
          <w:p w14:paraId="781B1BF9">
            <w:pPr>
              <w:spacing w:line="360" w:lineRule="auto"/>
              <w:rPr>
                <w:rFonts w:hint="eastAsia" w:asciiTheme="minorEastAsia" w:hAnsiTheme="minorEastAsia" w:eastAsiaTheme="minorEastAsia" w:cstheme="minorEastAsia"/>
                <w:color w:val="auto"/>
                <w:sz w:val="24"/>
                <w:szCs w:val="24"/>
              </w:rPr>
            </w:pPr>
          </w:p>
        </w:tc>
        <w:tc>
          <w:tcPr>
            <w:tcW w:w="1390" w:type="dxa"/>
            <w:vMerge w:val="restart"/>
            <w:tcBorders>
              <w:top w:val="nil"/>
              <w:left w:val="nil"/>
              <w:bottom w:val="single" w:color="000000" w:sz="4" w:space="0"/>
              <w:right w:val="single" w:color="000000" w:sz="4" w:space="0"/>
            </w:tcBorders>
            <w:tcMar>
              <w:top w:w="15" w:type="dxa"/>
              <w:left w:w="105" w:type="dxa"/>
              <w:bottom w:w="15" w:type="dxa"/>
              <w:right w:w="105" w:type="dxa"/>
            </w:tcMar>
            <w:vAlign w:val="top"/>
          </w:tcPr>
          <w:p w14:paraId="1A1C6F80">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安全保障与响应服务</w:t>
            </w: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0830468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重要时期/专项活动安全保障</w:t>
            </w:r>
          </w:p>
        </w:tc>
        <w:tc>
          <w:tcPr>
            <w:tcW w:w="392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6E30888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《福建省公安厅重要时期重保值守报告》《福建省公安厅重要时期重保值守名单》</w:t>
            </w:r>
          </w:p>
        </w:tc>
      </w:tr>
      <w:tr w14:paraId="5CEB18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546D2E3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w:t>
            </w:r>
          </w:p>
        </w:tc>
        <w:tc>
          <w:tcPr>
            <w:tcW w:w="751" w:type="dxa"/>
            <w:vMerge w:val="continue"/>
            <w:tcBorders>
              <w:top w:val="nil"/>
              <w:left w:val="nil"/>
              <w:bottom w:val="single" w:color="000000" w:sz="4" w:space="0"/>
              <w:right w:val="single" w:color="000000" w:sz="4" w:space="0"/>
            </w:tcBorders>
          </w:tcPr>
          <w:p w14:paraId="423F92EE">
            <w:pPr>
              <w:spacing w:line="360" w:lineRule="auto"/>
              <w:rPr>
                <w:rFonts w:hint="eastAsia" w:asciiTheme="minorEastAsia" w:hAnsiTheme="minorEastAsia" w:eastAsiaTheme="minorEastAsia" w:cstheme="minorEastAsia"/>
                <w:color w:val="auto"/>
                <w:sz w:val="24"/>
                <w:szCs w:val="24"/>
              </w:rPr>
            </w:pPr>
          </w:p>
        </w:tc>
        <w:tc>
          <w:tcPr>
            <w:tcW w:w="1390" w:type="dxa"/>
            <w:vMerge w:val="continue"/>
            <w:tcBorders>
              <w:top w:val="nil"/>
              <w:left w:val="nil"/>
              <w:bottom w:val="single" w:color="000000" w:sz="4" w:space="0"/>
              <w:right w:val="single" w:color="000000" w:sz="4" w:space="0"/>
            </w:tcBorders>
          </w:tcPr>
          <w:p w14:paraId="035D0A6A">
            <w:pPr>
              <w:spacing w:line="360" w:lineRule="auto"/>
              <w:rPr>
                <w:rFonts w:hint="eastAsia" w:asciiTheme="minorEastAsia" w:hAnsiTheme="minorEastAsia" w:eastAsiaTheme="minorEastAsia" w:cstheme="minorEastAsia"/>
                <w:color w:val="auto"/>
                <w:sz w:val="24"/>
                <w:szCs w:val="24"/>
              </w:rPr>
            </w:pP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354AC210">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安全管理服务</w:t>
            </w:r>
          </w:p>
        </w:tc>
        <w:tc>
          <w:tcPr>
            <w:tcW w:w="392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42127C7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《全省等保信息登记表》、《公安部运管考核扣分情况指标分析》、《自设指标每月进展情况》、《自设指标佐证材料》、《全省公安科通重点工作进展情况汇总表》</w:t>
            </w:r>
          </w:p>
        </w:tc>
      </w:tr>
      <w:tr w14:paraId="36C950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30D6BA8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w:t>
            </w:r>
          </w:p>
        </w:tc>
        <w:tc>
          <w:tcPr>
            <w:tcW w:w="751" w:type="dxa"/>
            <w:vMerge w:val="continue"/>
            <w:tcBorders>
              <w:top w:val="nil"/>
              <w:left w:val="nil"/>
              <w:bottom w:val="single" w:color="000000" w:sz="4" w:space="0"/>
              <w:right w:val="single" w:color="000000" w:sz="4" w:space="0"/>
            </w:tcBorders>
          </w:tcPr>
          <w:p w14:paraId="58F03280">
            <w:pPr>
              <w:spacing w:line="360" w:lineRule="auto"/>
              <w:rPr>
                <w:rFonts w:hint="eastAsia" w:asciiTheme="minorEastAsia" w:hAnsiTheme="minorEastAsia" w:eastAsiaTheme="minorEastAsia" w:cstheme="minorEastAsia"/>
                <w:color w:val="auto"/>
                <w:sz w:val="24"/>
                <w:szCs w:val="24"/>
              </w:rPr>
            </w:pPr>
          </w:p>
        </w:tc>
        <w:tc>
          <w:tcPr>
            <w:tcW w:w="1390" w:type="dxa"/>
            <w:vMerge w:val="continue"/>
            <w:tcBorders>
              <w:top w:val="nil"/>
              <w:left w:val="nil"/>
              <w:bottom w:val="single" w:color="000000" w:sz="4" w:space="0"/>
              <w:right w:val="single" w:color="000000" w:sz="4" w:space="0"/>
            </w:tcBorders>
          </w:tcPr>
          <w:p w14:paraId="02F15DED">
            <w:pPr>
              <w:spacing w:line="360" w:lineRule="auto"/>
              <w:rPr>
                <w:rFonts w:hint="eastAsia" w:asciiTheme="minorEastAsia" w:hAnsiTheme="minorEastAsia" w:eastAsiaTheme="minorEastAsia" w:cstheme="minorEastAsia"/>
                <w:color w:val="auto"/>
                <w:sz w:val="24"/>
                <w:szCs w:val="24"/>
              </w:rPr>
            </w:pP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13D826E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终端安全管理</w:t>
            </w:r>
          </w:p>
        </w:tc>
        <w:tc>
          <w:tcPr>
            <w:tcW w:w="392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1C3A7D6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《全省终端安全态势月汇总表》、《福建省公安厅终端安全态势月汇总表》</w:t>
            </w:r>
          </w:p>
        </w:tc>
      </w:tr>
      <w:tr w14:paraId="7CB2BB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2336915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w:t>
            </w:r>
          </w:p>
        </w:tc>
        <w:tc>
          <w:tcPr>
            <w:tcW w:w="751" w:type="dxa"/>
            <w:vMerge w:val="continue"/>
            <w:tcBorders>
              <w:top w:val="nil"/>
              <w:left w:val="nil"/>
              <w:bottom w:val="single" w:color="000000" w:sz="4" w:space="0"/>
              <w:right w:val="single" w:color="000000" w:sz="4" w:space="0"/>
            </w:tcBorders>
          </w:tcPr>
          <w:p w14:paraId="6B08D794">
            <w:pPr>
              <w:spacing w:line="360" w:lineRule="auto"/>
              <w:rPr>
                <w:rFonts w:hint="eastAsia" w:asciiTheme="minorEastAsia" w:hAnsiTheme="minorEastAsia" w:eastAsiaTheme="minorEastAsia" w:cstheme="minorEastAsia"/>
                <w:color w:val="auto"/>
                <w:sz w:val="24"/>
                <w:szCs w:val="24"/>
              </w:rPr>
            </w:pPr>
          </w:p>
        </w:tc>
        <w:tc>
          <w:tcPr>
            <w:tcW w:w="1390" w:type="dxa"/>
            <w:vMerge w:val="continue"/>
            <w:tcBorders>
              <w:top w:val="nil"/>
              <w:left w:val="nil"/>
              <w:bottom w:val="single" w:color="000000" w:sz="4" w:space="0"/>
              <w:right w:val="single" w:color="000000" w:sz="4" w:space="0"/>
            </w:tcBorders>
          </w:tcPr>
          <w:p w14:paraId="31362301">
            <w:pPr>
              <w:spacing w:line="360" w:lineRule="auto"/>
              <w:rPr>
                <w:rFonts w:hint="eastAsia" w:asciiTheme="minorEastAsia" w:hAnsiTheme="minorEastAsia" w:eastAsiaTheme="minorEastAsia" w:cstheme="minorEastAsia"/>
                <w:color w:val="auto"/>
                <w:sz w:val="24"/>
                <w:szCs w:val="24"/>
              </w:rPr>
            </w:pP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2955EB9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安全运营保障服务</w:t>
            </w:r>
          </w:p>
        </w:tc>
        <w:tc>
          <w:tcPr>
            <w:tcW w:w="392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6CAA763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《提供运营保障服务清单及相应的服务技术文档》</w:t>
            </w:r>
          </w:p>
        </w:tc>
      </w:tr>
      <w:tr w14:paraId="0DC53F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673D71C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28</w:t>
            </w:r>
          </w:p>
        </w:tc>
        <w:tc>
          <w:tcPr>
            <w:tcW w:w="751" w:type="dxa"/>
            <w:vMerge w:val="continue"/>
            <w:tcBorders>
              <w:top w:val="nil"/>
              <w:left w:val="nil"/>
              <w:bottom w:val="single" w:color="000000" w:sz="4" w:space="0"/>
              <w:right w:val="single" w:color="000000" w:sz="4" w:space="0"/>
            </w:tcBorders>
          </w:tcPr>
          <w:p w14:paraId="0CB11549">
            <w:pPr>
              <w:spacing w:line="360" w:lineRule="auto"/>
              <w:rPr>
                <w:rFonts w:hint="eastAsia" w:asciiTheme="minorEastAsia" w:hAnsiTheme="minorEastAsia" w:eastAsiaTheme="minorEastAsia" w:cstheme="minorEastAsia"/>
                <w:color w:val="auto"/>
                <w:sz w:val="24"/>
                <w:szCs w:val="24"/>
              </w:rPr>
            </w:pPr>
          </w:p>
        </w:tc>
        <w:tc>
          <w:tcPr>
            <w:tcW w:w="1390"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4B590F9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护网行动保障服务</w:t>
            </w: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203F389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护网行动保障</w:t>
            </w:r>
          </w:p>
        </w:tc>
        <w:tc>
          <w:tcPr>
            <w:tcW w:w="392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332F1123">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《福建省公安厅护网值守报告》</w:t>
            </w:r>
          </w:p>
        </w:tc>
      </w:tr>
      <w:tr w14:paraId="54FA1E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6664B8E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29</w:t>
            </w:r>
          </w:p>
        </w:tc>
        <w:tc>
          <w:tcPr>
            <w:tcW w:w="751" w:type="dxa"/>
            <w:vMerge w:val="continue"/>
            <w:tcBorders>
              <w:top w:val="nil"/>
              <w:left w:val="nil"/>
              <w:bottom w:val="single" w:color="000000" w:sz="4" w:space="0"/>
              <w:right w:val="single" w:color="000000" w:sz="4" w:space="0"/>
            </w:tcBorders>
          </w:tcPr>
          <w:p w14:paraId="207E2FD4">
            <w:pPr>
              <w:spacing w:line="360" w:lineRule="auto"/>
              <w:rPr>
                <w:rFonts w:hint="eastAsia" w:asciiTheme="minorEastAsia" w:hAnsiTheme="minorEastAsia" w:eastAsiaTheme="minorEastAsia" w:cstheme="minorEastAsia"/>
                <w:color w:val="auto"/>
                <w:sz w:val="24"/>
                <w:szCs w:val="24"/>
              </w:rPr>
            </w:pPr>
          </w:p>
        </w:tc>
        <w:tc>
          <w:tcPr>
            <w:tcW w:w="1390"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44CDE0DE">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等保咨询服务</w:t>
            </w: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2BD2D0D0">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等保咨询</w:t>
            </w:r>
          </w:p>
        </w:tc>
        <w:tc>
          <w:tcPr>
            <w:tcW w:w="392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4F90249B">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《安全体系巡检与评估报告》、《应用系统脆弱性问题清单》</w:t>
            </w:r>
          </w:p>
        </w:tc>
      </w:tr>
      <w:tr w14:paraId="5639E6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 w:type="dxa"/>
            <w:tcBorders>
              <w:top w:val="nil"/>
              <w:left w:val="single" w:color="000000" w:sz="4" w:space="0"/>
              <w:bottom w:val="single" w:color="000000" w:sz="4" w:space="0"/>
              <w:right w:val="single" w:color="000000" w:sz="4" w:space="0"/>
            </w:tcBorders>
            <w:tcMar>
              <w:top w:w="15" w:type="dxa"/>
              <w:left w:w="105" w:type="dxa"/>
              <w:bottom w:w="15" w:type="dxa"/>
              <w:right w:w="105" w:type="dxa"/>
            </w:tcMar>
            <w:vAlign w:val="top"/>
          </w:tcPr>
          <w:p w14:paraId="7F1A2EE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w:t>
            </w:r>
          </w:p>
        </w:tc>
        <w:tc>
          <w:tcPr>
            <w:tcW w:w="751" w:type="dxa"/>
            <w:vMerge w:val="continue"/>
            <w:tcBorders>
              <w:top w:val="nil"/>
              <w:left w:val="nil"/>
              <w:bottom w:val="single" w:color="000000" w:sz="4" w:space="0"/>
              <w:right w:val="single" w:color="000000" w:sz="4" w:space="0"/>
            </w:tcBorders>
          </w:tcPr>
          <w:p w14:paraId="5A0B60DC">
            <w:pPr>
              <w:spacing w:line="360" w:lineRule="auto"/>
              <w:rPr>
                <w:rFonts w:hint="eastAsia" w:asciiTheme="minorEastAsia" w:hAnsiTheme="minorEastAsia" w:eastAsiaTheme="minorEastAsia" w:cstheme="minorEastAsia"/>
                <w:color w:val="auto"/>
                <w:sz w:val="24"/>
                <w:szCs w:val="24"/>
              </w:rPr>
            </w:pPr>
          </w:p>
        </w:tc>
        <w:tc>
          <w:tcPr>
            <w:tcW w:w="1390"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72904D30">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安全培训服务</w:t>
            </w:r>
          </w:p>
        </w:tc>
        <w:tc>
          <w:tcPr>
            <w:tcW w:w="169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0BF72973">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安全培训</w:t>
            </w:r>
          </w:p>
        </w:tc>
        <w:tc>
          <w:tcPr>
            <w:tcW w:w="3921" w:type="dxa"/>
            <w:tcBorders>
              <w:top w:val="nil"/>
              <w:left w:val="nil"/>
              <w:bottom w:val="single" w:color="000000" w:sz="4" w:space="0"/>
              <w:right w:val="single" w:color="000000" w:sz="4" w:space="0"/>
            </w:tcBorders>
            <w:tcMar>
              <w:top w:w="15" w:type="dxa"/>
              <w:left w:w="105" w:type="dxa"/>
              <w:bottom w:w="15" w:type="dxa"/>
              <w:right w:w="105" w:type="dxa"/>
            </w:tcMar>
            <w:vAlign w:val="top"/>
          </w:tcPr>
          <w:p w14:paraId="14496E8D">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《福建省公安厅安全培训方案》《福建省公安厅培训ppt》《福建省公安厅培训签到表》</w:t>
            </w:r>
          </w:p>
        </w:tc>
      </w:tr>
    </w:tbl>
    <w:p w14:paraId="0C11A260">
      <w:pPr>
        <w:pStyle w:val="10"/>
        <w:numPr>
          <w:ilvl w:val="0"/>
          <w:numId w:val="0"/>
        </w:numPr>
        <w:spacing w:line="360" w:lineRule="auto"/>
        <w:ind w:firstLine="482" w:firstLineChars="200"/>
        <w:jc w:val="both"/>
        <w:outlineLvl w:val="3"/>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eastAsia="zh-CN"/>
        </w:rPr>
        <w:t>（七）</w:t>
      </w:r>
      <w:r>
        <w:rPr>
          <w:rFonts w:hint="eastAsia" w:asciiTheme="minorEastAsia" w:hAnsiTheme="minorEastAsia" w:eastAsiaTheme="minorEastAsia" w:cstheme="minorEastAsia"/>
          <w:b/>
          <w:color w:val="auto"/>
          <w:sz w:val="24"/>
          <w:szCs w:val="24"/>
        </w:rPr>
        <w:t>核心机房</w:t>
      </w:r>
      <w:r>
        <w:rPr>
          <w:rFonts w:hint="eastAsia" w:asciiTheme="minorEastAsia" w:hAnsiTheme="minorEastAsia" w:cstheme="minorEastAsia"/>
          <w:b/>
          <w:color w:val="auto"/>
          <w:sz w:val="24"/>
          <w:szCs w:val="24"/>
          <w:lang w:eastAsia="zh-CN"/>
        </w:rPr>
        <w:t>租用</w:t>
      </w:r>
      <w:r>
        <w:rPr>
          <w:rFonts w:hint="eastAsia" w:asciiTheme="minorEastAsia" w:hAnsiTheme="minorEastAsia" w:eastAsiaTheme="minorEastAsia" w:cstheme="minorEastAsia"/>
          <w:b/>
          <w:color w:val="auto"/>
          <w:sz w:val="24"/>
          <w:szCs w:val="24"/>
        </w:rPr>
        <w:t>服务部分</w:t>
      </w:r>
    </w:p>
    <w:p w14:paraId="1D9F181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投标人提供的</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机房须达到《数据中心设计规范》（GB 50174-2017）规定的 A级或更高等级标准，符合绿色数据中心相关要求，满足采购人相关系统三级等保及国密测评对机房的要求；</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机房距离采购人中心机房的直线距离≤50千米，</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机房场地须有自主产权，或与产权单位签署有房屋</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合同，且使用权剩余时间不少于2年。</w:t>
      </w:r>
    </w:p>
    <w:p w14:paraId="6A56129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的供配电系统必须具备双路市电供电，且双路市电引自不同变电站所，机柜须具备两路独立的UPS供电系统，每套UPS系统须上联自不同的变压器，在容量上应达到“2N模式”。配置后备柴油发电机组及其配电线路，柴油发电机系统及容量与机房主用总供电容量的比例应满足至少1:1；机房储油量应满足柴油发电机组满负荷至少运行12小时，并且需具备与柴油供应单位签订的优先供油协议，可在</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小时内满足补给供油能力。</w:t>
      </w:r>
    </w:p>
    <w:p w14:paraId="4C4A7B1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机房精密空调须满足N+1原则备用，空调容量须保证项目单位机房内IT设备的正常使用，机房温度恒定在18~25℃，湿度恒定在40~70%。</w:t>
      </w:r>
    </w:p>
    <w:p w14:paraId="4670FA6B">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配套的动力环境监控系统须准确监控机房环境的温、湿度、电力供应情况、空调设备运转、漏水状况，及时发现供电、空调设备及机房环境的缺陷，保证机房重要设备的安全。每月向采购人提供机柜使用空间和用电情况报告。</w:t>
      </w:r>
    </w:p>
    <w:p w14:paraId="13902F8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投标人须提供≥140个微模块一体化机柜，单个机柜平均可用功率≥5KW，最大可用功率≥7KW，机柜高度≥47U，并预留不少于</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0个机柜用于采购人后期扩容使用。</w:t>
      </w:r>
      <w:r>
        <w:rPr>
          <w:rFonts w:hint="eastAsia" w:asciiTheme="minorEastAsia" w:hAnsiTheme="minorEastAsia" w:cstheme="minorEastAsia"/>
          <w:color w:val="auto"/>
          <w:sz w:val="24"/>
          <w:szCs w:val="24"/>
          <w:lang w:val="en-US" w:eastAsia="zh-CN"/>
        </w:rPr>
        <w:t>投标人在本项目中提供的容灾备份服务和政务外网云资源须另外合计配套</w:t>
      </w:r>
      <w:r>
        <w:rPr>
          <w:rFonts w:hint="eastAsia" w:asciiTheme="minorEastAsia" w:hAnsiTheme="minorEastAsia" w:eastAsiaTheme="minorEastAsia" w:cstheme="minorEastAsia"/>
          <w:color w:val="auto"/>
          <w:sz w:val="24"/>
          <w:szCs w:val="24"/>
        </w:rPr>
        <w:t>提供</w:t>
      </w:r>
      <w:r>
        <w:rPr>
          <w:rFonts w:hint="eastAsia" w:asciiTheme="minorEastAsia" w:hAnsiTheme="minorEastAsia" w:cstheme="minorEastAsia"/>
          <w:color w:val="auto"/>
          <w:sz w:val="24"/>
          <w:szCs w:val="24"/>
          <w:lang w:val="en-US" w:eastAsia="zh-CN"/>
        </w:rPr>
        <w:t>同机房</w:t>
      </w:r>
      <w:r>
        <w:rPr>
          <w:rFonts w:hint="eastAsia" w:asciiTheme="minorEastAsia" w:hAnsiTheme="minorEastAsia" w:eastAsiaTheme="minorEastAsia" w:cstheme="minorEastAsia"/>
          <w:color w:val="auto"/>
          <w:sz w:val="24"/>
          <w:szCs w:val="24"/>
        </w:rPr>
        <w:t>≥10个微模块一体化机柜</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投标人提供的</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机房须为物理隔断、独立门禁的专用机房，</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机房里所有机柜及配套设施仅供采购人专用。</w:t>
      </w:r>
    </w:p>
    <w:p w14:paraId="4EC075F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6.</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机房内须配备无绳电话、移动运维操作台、梯子、显示器、键盘、鼠标等运维辅助工具；提供安全可靠的远程运维管控设施，实现在</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机房独立办公区和中心机房值班室能够安全远程控制和操作机房内的各类软硬件设备，除首次设备上架外，其他操作须全部实现远程操作，所有操作行为须被审计。</w:t>
      </w:r>
    </w:p>
    <w:p w14:paraId="52F9925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7.</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须配套提供独立的总面积不小于30平方米的办公场地专供采购人进行运维保障，提供各个网络的远程安全运维环境，及监控屏、监控主机、运维电脑、网络、长途电话和办公桌椅等办公设施，实现各个网络的告警信息集中展示、声光电输出，配备运维办公设施（≥3台运维终端、1台打印机及配套桌椅等）和相关软硬件设备，人工及材料费用由投标人负责；提供独立的总面积不小于30平方米的储物间专供采购人进行备品备件、闲置设备等物品的存放。</w:t>
      </w:r>
    </w:p>
    <w:p w14:paraId="77A2921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为确保数据中心的数据安全及相关软硬件故障能得到及时处置，投标人须在</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运维间、中心机房值班室、中心机房会议室和中心机房运维基地之间建立视频会商环境，实现快速沟通，提高故障处理效率，并在相关场地提供每周5×8小时现场技术服务，负责场地内的日常运行维护管理，包含每日场地保洁、水电物业费等。</w:t>
      </w:r>
    </w:p>
    <w:p w14:paraId="6D969A6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9.</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须配备独立的门禁系统和无死角视频监控系统，具备人脸识别、人员移动监测、门禁超时和机房非法人员及可疑行为报警功能，安防系统统一接入中心机房值班室，实现多个机房间和模块化机柜组间的身份验证和准入的联动。</w:t>
      </w:r>
      <w:r>
        <w:rPr>
          <w:rFonts w:hint="eastAsia" w:asciiTheme="minorEastAsia" w:hAnsiTheme="minorEastAsia" w:cstheme="minorEastAsia"/>
          <w:color w:val="auto"/>
          <w:sz w:val="24"/>
          <w:szCs w:val="24"/>
          <w:lang w:val="en-US" w:eastAsia="zh-CN"/>
        </w:rPr>
        <w:t>监控和</w:t>
      </w:r>
      <w:r>
        <w:rPr>
          <w:rFonts w:hint="eastAsia" w:asciiTheme="minorEastAsia" w:hAnsiTheme="minorEastAsia" w:eastAsiaTheme="minorEastAsia" w:cstheme="minorEastAsia"/>
          <w:color w:val="auto"/>
          <w:sz w:val="24"/>
          <w:szCs w:val="24"/>
        </w:rPr>
        <w:t>门禁系统须严格满足国家商用密码（国密）相关技术与合规标准。视频录像记录保存时间不得少于6个月，门禁记录保存时间不得少于24个月。</w:t>
      </w:r>
    </w:p>
    <w:p w14:paraId="786EFBE1">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投标人须具备完善的机房进出管理和标准化流程，配套金属探测仪，防止进入机房人员未经允许携带手机、电脑、移动存储介质等金属通讯存储设备。</w:t>
      </w:r>
    </w:p>
    <w:p w14:paraId="75EE4AD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投标人须根据采购人机房互联情况，提供满足业务使用的线路用于</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机房、中心机房、移动机房之间互联，</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机房和中心机房互联线路须满足双路由、无单点故障、平均延时≤2ms的可靠性要求</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须允许包括电信、联通、移动、广电等电信运营商的线路接入，并需提供园区内部线路用于与各运营商外部接入线路的对接，相关费用由投标人承担，不得另行收取。投标人须负责机房内物理互联线路的维护，确保网络线路的可用性，并实现机柜理线及标签的规范化与标准化。</w:t>
      </w:r>
    </w:p>
    <w:p w14:paraId="0B04279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投标人须派驻专业技术员提供7*24小时机房值班服务，主要包括值班服务电话响应、机房出入登记、机房内运维操作现场跟随监督、系统告警通知、机房巡检、值班调度、应急处置等服务内容，现场技术员必须遵守采购人机房管理制度及其他相关管理制度，严格按照相应流程操作，并按要求做好值班交接和值班记录。</w:t>
      </w:r>
    </w:p>
    <w:p w14:paraId="740AB5D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13.</w:t>
      </w:r>
      <w:r>
        <w:rPr>
          <w:rFonts w:hint="eastAsia" w:asciiTheme="minorEastAsia" w:hAnsiTheme="minorEastAsia" w:eastAsiaTheme="minorEastAsia" w:cstheme="minorEastAsia"/>
          <w:color w:val="auto"/>
          <w:sz w:val="24"/>
          <w:szCs w:val="24"/>
        </w:rPr>
        <w:t>投标人须确保机房机柜及设备的干净整洁，每月对机房进行一次卫生清洁。</w:t>
      </w:r>
    </w:p>
    <w:p w14:paraId="1C5440CA">
      <w:pPr>
        <w:pStyle w:val="10"/>
        <w:numPr>
          <w:ilvl w:val="0"/>
          <w:numId w:val="0"/>
        </w:numPr>
        <w:spacing w:line="360" w:lineRule="auto"/>
        <w:ind w:firstLine="482" w:firstLineChars="200"/>
        <w:outlineLvl w:val="3"/>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eastAsia="zh-CN"/>
        </w:rPr>
        <w:t>（八）</w:t>
      </w:r>
      <w:r>
        <w:rPr>
          <w:rFonts w:hint="eastAsia" w:asciiTheme="minorEastAsia" w:hAnsiTheme="minorEastAsia" w:eastAsiaTheme="minorEastAsia" w:cstheme="minorEastAsia"/>
          <w:b/>
          <w:color w:val="auto"/>
          <w:sz w:val="24"/>
          <w:szCs w:val="24"/>
        </w:rPr>
        <w:t>政务外网云资源服务部分</w:t>
      </w:r>
    </w:p>
    <w:p w14:paraId="6425BD6F">
      <w:pPr>
        <w:pStyle w:val="10"/>
        <w:numPr>
          <w:ilvl w:val="0"/>
          <w:numId w:val="0"/>
        </w:numPr>
        <w:spacing w:line="360" w:lineRule="auto"/>
        <w:ind w:firstLine="482"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1.</w:t>
      </w:r>
      <w:r>
        <w:rPr>
          <w:rFonts w:hint="eastAsia" w:asciiTheme="minorEastAsia" w:hAnsiTheme="minorEastAsia" w:eastAsiaTheme="minorEastAsia" w:cstheme="minorEastAsia"/>
          <w:b/>
          <w:color w:val="auto"/>
          <w:sz w:val="24"/>
          <w:szCs w:val="24"/>
        </w:rPr>
        <w:t>运维服务要求</w:t>
      </w:r>
    </w:p>
    <w:p w14:paraId="2CAE356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应提供与政务外网和互联网高速互通的云资源环境，满足采购人生产系统运行环境及业务系统安全可靠适配改造要求。提供的云资源和基础软件须采用符合政府采购需求标准且安全可靠测评等级不低于I级的产品。采购人实际云资源物理需求为：vCPU≥850核、内存≥2310GB、硬盘≥102000GB、云存储资源≥18000GB、操作系统≥221个、数据库≥14套。投标人提供的云资源vCPU总核数、内存总量、存储总量应不低于采购人实际物理需求的3倍，且超分比不得超过3:1</w:t>
      </w:r>
      <w:r>
        <w:rPr>
          <w:rFonts w:hint="eastAsia" w:asciiTheme="minorEastAsia" w:hAnsiTheme="minorEastAsia" w:cstheme="minorEastAsia"/>
          <w:color w:val="auto"/>
          <w:sz w:val="24"/>
          <w:szCs w:val="24"/>
          <w:lang w:eastAsia="zh-CN"/>
        </w:rPr>
        <w:t>，并预留不低于各类云资源（CPU、内存和存储）总量30%的应急动态资源供采购人使用（即投标人实际提供的各类云资源总量应不低于“</w:t>
      </w:r>
      <w:r>
        <w:rPr>
          <w:rFonts w:hint="eastAsia" w:asciiTheme="minorEastAsia" w:hAnsiTheme="minorEastAsia" w:eastAsiaTheme="minorEastAsia" w:cstheme="minorEastAsia"/>
          <w:color w:val="auto"/>
          <w:sz w:val="24"/>
          <w:szCs w:val="24"/>
        </w:rPr>
        <w:t>上述要求</w:t>
      </w:r>
      <w:r>
        <w:rPr>
          <w:rFonts w:hint="eastAsia" w:asciiTheme="minorEastAsia" w:hAnsiTheme="minorEastAsia" w:cstheme="minorEastAsia"/>
          <w:color w:val="auto"/>
          <w:sz w:val="24"/>
          <w:szCs w:val="24"/>
          <w:lang w:eastAsia="zh-CN"/>
        </w:rPr>
        <w:t>所需云资源量÷70%”）</w:t>
      </w:r>
      <w:r>
        <w:rPr>
          <w:rFonts w:hint="eastAsia" w:asciiTheme="minorEastAsia" w:hAnsiTheme="minorEastAsia" w:eastAsiaTheme="minorEastAsia" w:cstheme="minorEastAsia"/>
          <w:color w:val="auto"/>
          <w:sz w:val="24"/>
          <w:szCs w:val="24"/>
        </w:rPr>
        <w:t>，并负责满足服务期内业务系统安全可靠适配改造、测试以及新旧系统并行运行所需的资源要求。投标人须将完成上述工作所需的搬迁、布线、迁移工具、硬件配件、人工、耗材及软件等全部费用，全额包含在投标总价中。</w:t>
      </w:r>
    </w:p>
    <w:p w14:paraId="3C90D6ED">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（2）投标人提供的云资源CPU须支持C86</w:t>
      </w:r>
      <w:r>
        <w:rPr>
          <w:rFonts w:hint="eastAsia" w:asciiTheme="minorEastAsia" w:hAnsiTheme="minorEastAsia" w:cstheme="minorEastAsia"/>
          <w:color w:val="auto"/>
          <w:sz w:val="24"/>
          <w:szCs w:val="24"/>
          <w:lang w:val="en-US" w:eastAsia="zh-CN"/>
        </w:rPr>
        <w:t>和</w:t>
      </w:r>
      <w:r>
        <w:rPr>
          <w:rFonts w:hint="eastAsia" w:asciiTheme="minorEastAsia" w:hAnsiTheme="minorEastAsia" w:eastAsiaTheme="minorEastAsia" w:cstheme="minorEastAsia"/>
          <w:color w:val="auto"/>
          <w:sz w:val="24"/>
          <w:szCs w:val="24"/>
        </w:rPr>
        <w:t>ARM</w:t>
      </w:r>
      <w:r>
        <w:rPr>
          <w:rFonts w:hint="eastAsia" w:asciiTheme="minorEastAsia" w:hAnsiTheme="minorEastAsia" w:cstheme="minorEastAsia"/>
          <w:color w:val="auto"/>
          <w:sz w:val="24"/>
          <w:szCs w:val="24"/>
          <w:lang w:val="en-US" w:eastAsia="zh-CN"/>
        </w:rPr>
        <w:t>两种生态</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应</w:t>
      </w:r>
      <w:r>
        <w:rPr>
          <w:rFonts w:hint="eastAsia" w:asciiTheme="minorEastAsia" w:hAnsiTheme="minorEastAsia" w:eastAsiaTheme="minorEastAsia" w:cstheme="minorEastAsia"/>
          <w:color w:val="auto"/>
          <w:sz w:val="24"/>
          <w:szCs w:val="24"/>
        </w:rPr>
        <w:t>配套云主机迁移工具，实现X86至C86架构的迁移以及云硬盘的缩容。</w:t>
      </w:r>
    </w:p>
    <w:p w14:paraId="045A38E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）投标人须配套提供备份服务，实现云资源和数据库的备份，备份容量不占用云资源存储量。</w:t>
      </w:r>
    </w:p>
    <w:p w14:paraId="7EAFCC2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）投标人须提供云主机、操作系统、中间件和数据库的运营运维服务，并配套相关服务的监控告警工具。</w:t>
      </w:r>
    </w:p>
    <w:p w14:paraId="0DB225C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）投标人须</w:t>
      </w:r>
      <w:r>
        <w:rPr>
          <w:rFonts w:hint="eastAsia" w:asciiTheme="minorEastAsia" w:hAnsiTheme="minorEastAsia" w:cstheme="minorEastAsia"/>
          <w:color w:val="auto"/>
          <w:sz w:val="24"/>
          <w:szCs w:val="24"/>
          <w:lang w:val="en-US" w:eastAsia="zh-CN"/>
        </w:rPr>
        <w:t>额外</w:t>
      </w:r>
      <w:r>
        <w:rPr>
          <w:rFonts w:hint="eastAsia" w:asciiTheme="minorEastAsia" w:hAnsiTheme="minorEastAsia" w:eastAsiaTheme="minorEastAsia" w:cstheme="minorEastAsia"/>
          <w:color w:val="auto"/>
          <w:sz w:val="24"/>
          <w:szCs w:val="24"/>
        </w:rPr>
        <w:t>提供不少于5个</w:t>
      </w:r>
      <w:r>
        <w:rPr>
          <w:rFonts w:hint="eastAsia" w:asciiTheme="minorEastAsia" w:hAnsiTheme="minorEastAsia" w:cstheme="minorEastAsia"/>
          <w:color w:val="auto"/>
          <w:sz w:val="24"/>
          <w:szCs w:val="24"/>
          <w:lang w:val="en-US" w:eastAsia="zh-CN"/>
        </w:rPr>
        <w:t>租用机房可接入政务外网云资源</w:t>
      </w:r>
      <w:r>
        <w:rPr>
          <w:rFonts w:hint="eastAsia" w:asciiTheme="minorEastAsia" w:hAnsiTheme="minorEastAsia" w:eastAsiaTheme="minorEastAsia" w:cstheme="minorEastAsia"/>
          <w:color w:val="auto"/>
          <w:sz w:val="24"/>
          <w:szCs w:val="24"/>
        </w:rPr>
        <w:t>的数据中心机柜空间，用于存放采购人托管的其他设备资源，并负责托管设备的网络接入、系统维护和基础安全防护，托管设备接入所需的网络设备、安全设备纳入所购的云服务范围。</w:t>
      </w:r>
    </w:p>
    <w:p w14:paraId="4315474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）政务外网云资源所在机房须有值班员24小时值守，当采购人出现安全事件时，投标人须在15分钟内让指定云主机或出口线路断网。</w:t>
      </w:r>
    </w:p>
    <w:p w14:paraId="5B2C246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7</w:t>
      </w:r>
      <w:r>
        <w:rPr>
          <w:rFonts w:hint="eastAsia" w:asciiTheme="minorEastAsia" w:hAnsiTheme="minorEastAsia" w:cstheme="minorEastAsia"/>
          <w:color w:val="auto"/>
          <w:sz w:val="24"/>
          <w:szCs w:val="24"/>
          <w:lang w:eastAsia="zh-CN"/>
        </w:rPr>
        <w:t>）投标人提供的政务外网云资源应能满足政务信息系统各类制度规范要求，针对包含通过检查等手段发现存在的不满足制度规范要求的问题，应承诺在规定的时间内进行整改。</w:t>
      </w:r>
    </w:p>
    <w:p w14:paraId="6A640DF7">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2.</w:t>
      </w:r>
      <w:r>
        <w:rPr>
          <w:rFonts w:hint="eastAsia" w:asciiTheme="minorEastAsia" w:hAnsiTheme="minorEastAsia" w:eastAsiaTheme="minorEastAsia" w:cstheme="minorEastAsia"/>
          <w:b/>
          <w:color w:val="auto"/>
          <w:sz w:val="24"/>
          <w:szCs w:val="24"/>
        </w:rPr>
        <w:t>安全防护措施</w:t>
      </w:r>
    </w:p>
    <w:p w14:paraId="77416C4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定期（每年不少于4次）开展漏洞扫描，配置核查，病毒木马清理等安全运维工作，及时修复漏洞、更新补丁，配合系统开发单位关闭系统不必要服务、端口和默认配置，安全运维工作的开展应有详细文档记录；提供行之有效的开发运维的管控手段，能全面记录开发运维人员的操作行为。</w:t>
      </w:r>
    </w:p>
    <w:p w14:paraId="1177D40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（2）严格系统访问控制和权限管理，采用“白名单”方式控制，并设置系统审计。</w:t>
      </w:r>
    </w:p>
    <w:p w14:paraId="172CDC9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（3）“白名单”访问控制方式，防护粒度能以业务组为逻辑单位进行控制，业务组内能审计到具体的业务访问关系。</w:t>
      </w:r>
    </w:p>
    <w:p w14:paraId="6CAC9A96">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（4）“白名单”访问控制方式，防护对象能够实现统一对虚拟机、容器之间的访问流量进行控制，控制方式包括设置放行（白名单）及阻断（黑名单）模式的策略。</w:t>
      </w:r>
    </w:p>
    <w:p w14:paraId="3437A0A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（5）定期（每年不少于4次）输出部署其上的省级公安互联网系统工作负载业务端口访问次数和基于业务访问关系定义的非必要暴露端口情况报表。</w:t>
      </w:r>
    </w:p>
    <w:p w14:paraId="7D3C5FD5">
      <w:pPr>
        <w:pStyle w:val="10"/>
        <w:spacing w:line="360" w:lineRule="auto"/>
        <w:ind w:firstLine="48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6）应确保托管的采购人互联网系统页面不被篡改，需有技术措施及相应的方案。对互联网系统及网站配备并部署防篡改系统及软件，并确保防篡改能力有效；一旦发生篡改事件时，能做到快速关停或替换为安全的静态页面</w:t>
      </w:r>
      <w:r>
        <w:rPr>
          <w:rFonts w:hint="eastAsia" w:asciiTheme="minorEastAsia" w:hAnsiTheme="minorEastAsia" w:cstheme="minorEastAsia"/>
          <w:color w:val="auto"/>
          <w:sz w:val="24"/>
          <w:szCs w:val="24"/>
          <w:lang w:eastAsia="zh-CN"/>
        </w:rPr>
        <w:t>。</w:t>
      </w:r>
    </w:p>
    <w:p w14:paraId="0C066B6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（7）应确保托管的采购人互联网系统不因系统被入侵等外力原因导致数据暴库、拖库或者泄露，具备较为完善的数据（库）防护措施及审计手段；</w:t>
      </w:r>
      <w:r>
        <w:rPr>
          <w:rFonts w:ascii="宋体" w:hAnsi="宋体" w:eastAsia="宋体" w:cs="宋体"/>
          <w:bCs/>
          <w:color w:val="auto"/>
          <w:sz w:val="24"/>
        </w:rPr>
        <w:t>具备应用自我防护能力，针对应用0day漏洞、内存马攻击行为进行实时检测与阻断。</w:t>
      </w:r>
    </w:p>
    <w:p w14:paraId="493BA63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云资源配套安全防护增值服务，互联网业务系统须严格按照《网络安全法》及网络安全等级保护2.0的3级标准及要求开展安全防护和实时监测工作，具备系统防入侵、防攻击、防篡改等技术防护措施；必须参照等保2.0要求提供全面的审计和日志能力（含主机日志、中间件日志、Web访问日志、数据库日志等日志，日志保留应不少于1年），保证信息数据、日志文件等的完整性、可用性。</w:t>
      </w:r>
    </w:p>
    <w:p w14:paraId="70803AE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（9）每个月提供一次平台安全设备、网络设备、承载平台资源利用率报告。</w:t>
      </w:r>
    </w:p>
    <w:p w14:paraId="5828E0FB">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3.</w:t>
      </w:r>
      <w:r>
        <w:rPr>
          <w:rFonts w:hint="eastAsia" w:asciiTheme="minorEastAsia" w:hAnsiTheme="minorEastAsia" w:eastAsiaTheme="minorEastAsia" w:cstheme="minorEastAsia"/>
          <w:b/>
          <w:color w:val="auto"/>
          <w:sz w:val="24"/>
          <w:szCs w:val="24"/>
        </w:rPr>
        <w:t>实时安全监测</w:t>
      </w:r>
    </w:p>
    <w:p w14:paraId="0359E33F">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（1）定期（每年不少于4次）开展系统漏洞、后门的扫描和检查工作，及时清查异常文件、可疑进程及服务，确保系统没有被预留后门和控制；</w:t>
      </w:r>
    </w:p>
    <w:p w14:paraId="68B84C2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（2）加大巡检力度，实时掌握系统运行情况，具备监测系统运行和遭受攻击的工具手段，及时发现</w:t>
      </w:r>
      <w:r>
        <w:rPr>
          <w:rFonts w:ascii="宋体" w:hAnsi="宋体" w:eastAsia="宋体" w:cs="宋体"/>
          <w:bCs/>
          <w:color w:val="auto"/>
          <w:sz w:val="24"/>
        </w:rPr>
        <w:t>系统业务的</w:t>
      </w:r>
      <w:r>
        <w:rPr>
          <w:rFonts w:hint="eastAsia" w:asciiTheme="minorEastAsia" w:hAnsiTheme="minorEastAsia" w:eastAsiaTheme="minorEastAsia" w:cstheme="minorEastAsia"/>
          <w:color w:val="auto"/>
          <w:sz w:val="24"/>
          <w:szCs w:val="24"/>
        </w:rPr>
        <w:t>异常访问及攻击行为，对扫描、探测、密码破解、DDoS攻击、SQL注入和跨站等各类攻击行为等及时发现并阻断</w:t>
      </w:r>
      <w:r>
        <w:rPr>
          <w:rFonts w:ascii="宋体" w:hAnsi="宋体" w:eastAsia="宋体" w:cs="宋体"/>
          <w:bCs/>
          <w:color w:val="auto"/>
          <w:sz w:val="24"/>
        </w:rPr>
        <w:t>；及时发现针对系统主机的入侵攻击行为，对反弹shell、病毒文件、命令执行、内网隧道、恶意进程等及时发现并阻断</w:t>
      </w:r>
      <w:r>
        <w:rPr>
          <w:rFonts w:hint="eastAsia" w:asciiTheme="minorEastAsia" w:hAnsiTheme="minorEastAsia" w:eastAsiaTheme="minorEastAsia" w:cstheme="minorEastAsia"/>
          <w:color w:val="auto"/>
          <w:sz w:val="24"/>
          <w:szCs w:val="24"/>
        </w:rPr>
        <w:t>。具备相应的备份措施。做好技术力量、资源的储备，应对重大突发事件的发生。</w:t>
      </w:r>
    </w:p>
    <w:p w14:paraId="5CE068C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对网络中安全设备的运行状态进行检查，持续监控网内的安全事件，针对信息安全预警、安全防护、系统监控等方面的运行状况进行安全检查，监控各安全设备的运行状态，及时收集各安全设备的运行数据，在第一时间发现可能出现的各种网络安全问题并加以防范。</w:t>
      </w:r>
    </w:p>
    <w:p w14:paraId="15805A7D">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4.</w:t>
      </w:r>
      <w:r>
        <w:rPr>
          <w:rFonts w:hint="eastAsia" w:asciiTheme="minorEastAsia" w:hAnsiTheme="minorEastAsia" w:eastAsiaTheme="minorEastAsia" w:cstheme="minorEastAsia"/>
          <w:b/>
          <w:color w:val="auto"/>
          <w:sz w:val="24"/>
          <w:szCs w:val="24"/>
        </w:rPr>
        <w:t>系统巡查及应急处置工作机制。</w:t>
      </w:r>
    </w:p>
    <w:p w14:paraId="4983BAB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突发的信息安全事件进行及时响应，分析并解决故障，并协助建立信息安全事件应急预案制度，建立信息安全事件的应急响应流程与处置方法，协助制定应急演练方案并每年不少于2次开展应急演练。会同系统主管单位建立应急协调机制，在重大时间节点（以采购人相关安全人员通知为准），提供专门的现场值守团队，实时在线监控系统，实现全天候7X24小时加强系统的巡查和防护，确保采购人互联网系统在重大时间节点期间的安全，发生问题第一时间响应，第一时间处置恢复并配合开展安全案事件发生后的调查取证工作。其中为了应对重大时间节点期间远超正常状态的高强度密集攻击，应先期开展深度安全检测自查，防范攻防演练期间的大规模网络异常流量、恶意程序变种、0day漏洞和高级可持续性威胁攻击等。</w:t>
      </w:r>
    </w:p>
    <w:p w14:paraId="55EEC0C4">
      <w:pPr>
        <w:pStyle w:val="10"/>
        <w:numPr>
          <w:ilvl w:val="0"/>
          <w:numId w:val="0"/>
        </w:numPr>
        <w:spacing w:line="360" w:lineRule="auto"/>
        <w:ind w:firstLine="482" w:firstLineChars="200"/>
        <w:outlineLvl w:val="3"/>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eastAsia="zh-CN"/>
        </w:rPr>
        <w:t>（九）</w:t>
      </w:r>
      <w:r>
        <w:rPr>
          <w:rFonts w:hint="eastAsia" w:asciiTheme="minorEastAsia" w:hAnsiTheme="minorEastAsia" w:eastAsiaTheme="minorEastAsia" w:cstheme="minorEastAsia"/>
          <w:b/>
          <w:color w:val="auto"/>
          <w:sz w:val="24"/>
          <w:szCs w:val="24"/>
        </w:rPr>
        <w:t>通信线路</w:t>
      </w:r>
      <w:r>
        <w:rPr>
          <w:rFonts w:hint="eastAsia" w:asciiTheme="minorEastAsia" w:hAnsiTheme="minorEastAsia" w:cstheme="minorEastAsia"/>
          <w:b/>
          <w:color w:val="auto"/>
          <w:sz w:val="24"/>
          <w:szCs w:val="24"/>
          <w:lang w:eastAsia="zh-CN"/>
        </w:rPr>
        <w:t>租用</w:t>
      </w:r>
      <w:r>
        <w:rPr>
          <w:rFonts w:hint="eastAsia" w:asciiTheme="minorEastAsia" w:hAnsiTheme="minorEastAsia" w:eastAsiaTheme="minorEastAsia" w:cstheme="minorEastAsia"/>
          <w:b/>
          <w:color w:val="auto"/>
          <w:sz w:val="24"/>
          <w:szCs w:val="24"/>
        </w:rPr>
        <w:t>服务部分</w:t>
      </w:r>
    </w:p>
    <w:p w14:paraId="21102D8D">
      <w:pPr>
        <w:pStyle w:val="10"/>
        <w:numPr>
          <w:ilvl w:val="0"/>
          <w:numId w:val="0"/>
        </w:numPr>
        <w:spacing w:line="360" w:lineRule="auto"/>
        <w:ind w:firstLine="482"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1.</w:t>
      </w:r>
      <w:r>
        <w:rPr>
          <w:rFonts w:hint="eastAsia" w:asciiTheme="minorEastAsia" w:hAnsiTheme="minorEastAsia" w:eastAsiaTheme="minorEastAsia" w:cstheme="minorEastAsia"/>
          <w:b/>
          <w:color w:val="auto"/>
          <w:sz w:val="24"/>
          <w:szCs w:val="24"/>
        </w:rPr>
        <w:t>建设实施要求</w:t>
      </w:r>
    </w:p>
    <w:p w14:paraId="6239D65B">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应由投标人负责公安二级骨干网及其它线路工程的实施，所租用线路涉及的传输设备（含电话光端机）均由投标人承担，考虑省公安厅大院内安全需要，省公安厅院内线路管道由采购人自行解决，所租用线路只能利用现有管道布放。在服务期内，投标人负责保障公安网络及其它所租用线路的正常运行，若出现因所选设备的性能不足影响网络正常运行的，由投标人负责免费进行设备升级，并协助省公安厅做好网络优化和运维保障工作。</w:t>
      </w:r>
    </w:p>
    <w:p w14:paraId="7F5249D4">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安二级骨干网的接入段线路和长途段线路的局端设备均应部署在公安机房内，传输设备应有全程保护，公安二级骨干网须采用适合的传输技术实现数据的物理安全隔离，并保证公安二级骨干网数据全程不得在运营商机房落地。投标人应随着后期公安业务流量增长，免费升级传输网络，保证新的带宽需求在要求时限内开通。</w:t>
      </w:r>
    </w:p>
    <w:p w14:paraId="3830EC6B">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2.</w:t>
      </w:r>
      <w:r>
        <w:rPr>
          <w:rFonts w:hint="eastAsia" w:asciiTheme="minorEastAsia" w:hAnsiTheme="minorEastAsia" w:eastAsiaTheme="minorEastAsia" w:cstheme="minorEastAsia"/>
          <w:b/>
          <w:color w:val="auto"/>
          <w:sz w:val="24"/>
          <w:szCs w:val="24"/>
        </w:rPr>
        <w:t>拓扑结构要求</w:t>
      </w:r>
    </w:p>
    <w:p w14:paraId="34FE6F24">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1.二级骨干网拓扑结构要求</w:t>
      </w:r>
    </w:p>
    <w:p w14:paraId="118DDDF7">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采购人二级骨干网拓扑要求如下图所示：</w:t>
      </w:r>
    </w:p>
    <w:p w14:paraId="40950E35">
      <w:pPr>
        <w:pStyle w:val="10"/>
        <w:spacing w:line="360" w:lineRule="auto"/>
        <w:ind w:firstLine="400" w:firstLineChars="200"/>
        <w:jc w:val="both"/>
        <w:rPr>
          <w:rFonts w:hint="eastAsia" w:asciiTheme="minorEastAsia" w:hAnsiTheme="minorEastAsia" w:eastAsiaTheme="minorEastAsia" w:cstheme="minorEastAsia"/>
          <w:color w:val="auto"/>
          <w:sz w:val="24"/>
          <w:szCs w:val="24"/>
        </w:rPr>
      </w:pPr>
      <w:r>
        <w:rPr>
          <w:rFonts w:hint="eastAsia" w:ascii="宋体" w:hAnsi="宋体" w:eastAsia="宋体" w:cs="宋体"/>
          <w:b w:val="0"/>
          <w:bCs/>
          <w:color w:val="auto"/>
        </w:rPr>
        <w:drawing>
          <wp:inline distT="0" distB="0" distL="0" distR="0">
            <wp:extent cx="5274310" cy="3049270"/>
            <wp:effectExtent l="0" t="0" r="2540" b="17780"/>
            <wp:docPr id="2"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1" descr="img"/>
                    <pic:cNvPicPr>
                      <a:picLocks noChangeAspect="1"/>
                    </pic:cNvPicPr>
                  </pic:nvPicPr>
                  <pic:blipFill>
                    <a:blip r:embed="rId7"/>
                    <a:stretch>
                      <a:fillRect/>
                    </a:stretch>
                  </pic:blipFill>
                  <pic:spPr>
                    <a:xfrm>
                      <a:off x="0" y="0"/>
                      <a:ext cx="5274310" cy="3049771"/>
                    </a:xfrm>
                    <a:prstGeom prst="rect">
                      <a:avLst/>
                    </a:prstGeom>
                  </pic:spPr>
                </pic:pic>
              </a:graphicData>
            </a:graphic>
          </wp:inline>
        </w:drawing>
      </w:r>
    </w:p>
    <w:p w14:paraId="5029D16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采购人二级骨干网组网结构要求说明：</w:t>
      </w:r>
    </w:p>
    <w:p w14:paraId="53038345">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（1）福州市局和福州仓科机房各通过8条裸纤接入省公安厅（双运营商，每个运营商4条裸纤，各2个以上不同物理路由，裸纤衰减≤0.3dB/km，裸纤类型：G.652/G.653等，故障恢复时间≤2小时）；</w:t>
      </w:r>
    </w:p>
    <w:p w14:paraId="26B38A19">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其余8设区市公安局+平潭区公安局分别通过2条10Gbps电路接入省公安厅；采用双局向、双路由、双光缆备份、双设备或双板卡；单条10Gbps电路可以按需分割成不超过5条的电路，分割后的电路总带宽不超过10Gbps。</w:t>
      </w:r>
    </w:p>
    <w:p w14:paraId="57024647">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（3）其余8设区市公安局+平潭区公安局分别通过2条千兆电路接入省公安厅，采用双局向、双路由、双光缆备份、双设备或双板卡，作为上述（2）线路的不同运营商备份线路。</w:t>
      </w:r>
    </w:p>
    <w:p w14:paraId="7CC61F92">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（4）各设区市和平潭各提供2个2M SDH电路接入省公安厅。</w:t>
      </w:r>
    </w:p>
    <w:p w14:paraId="7A601FE2">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2.</w:t>
      </w:r>
      <w:r>
        <w:rPr>
          <w:rFonts w:hint="eastAsia" w:asciiTheme="minorEastAsia" w:hAnsiTheme="minorEastAsia" w:eastAsiaTheme="minorEastAsia" w:cstheme="minorEastAsia"/>
          <w:b/>
          <w:color w:val="auto"/>
          <w:sz w:val="24"/>
          <w:szCs w:val="24"/>
        </w:rPr>
        <w:t>线路质量要求</w:t>
      </w:r>
    </w:p>
    <w:p w14:paraId="05EE7D4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在符合国家有关电信业务规定的范围提供国内跨域线路。所提供线路应符合国家数据通信技术标准，达到信息产业部颁布的《电信服务标准（试行）》的线路质量要求。</w:t>
      </w:r>
    </w:p>
    <w:p w14:paraId="346F35B5">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线路可用性:大等于99.9%；</w:t>
      </w:r>
    </w:p>
    <w:p w14:paraId="60058059">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平均丢包率:≤0.2%。</w:t>
      </w:r>
    </w:p>
    <w:p w14:paraId="36F54B62">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时延：低于50ms。</w:t>
      </w:r>
    </w:p>
    <w:p w14:paraId="024366B7">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在四个小时恢复线路百分比为90%；</w:t>
      </w:r>
    </w:p>
    <w:p w14:paraId="0B64D69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比特率误码率等于或优于10</w:t>
      </w:r>
      <w:r>
        <w:rPr>
          <w:rFonts w:hint="eastAsia" w:asciiTheme="minorEastAsia" w:hAnsiTheme="minorEastAsia" w:eastAsiaTheme="minorEastAsia" w:cstheme="minorEastAsia"/>
          <w:color w:val="auto"/>
          <w:sz w:val="24"/>
          <w:szCs w:val="24"/>
          <w:vertAlign w:val="superscript"/>
        </w:rPr>
        <w:t>-7</w:t>
      </w:r>
      <w:r>
        <w:rPr>
          <w:rFonts w:hint="eastAsia" w:asciiTheme="minorEastAsia" w:hAnsiTheme="minorEastAsia" w:eastAsiaTheme="minorEastAsia" w:cstheme="minorEastAsia"/>
          <w:color w:val="auto"/>
          <w:sz w:val="24"/>
          <w:szCs w:val="24"/>
        </w:rPr>
        <w:t>。</w:t>
      </w:r>
    </w:p>
    <w:p w14:paraId="3A24562D">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3.</w:t>
      </w:r>
      <w:r>
        <w:rPr>
          <w:rFonts w:hint="eastAsia" w:asciiTheme="minorEastAsia" w:hAnsiTheme="minorEastAsia" w:eastAsiaTheme="minorEastAsia" w:cstheme="minorEastAsia"/>
          <w:b/>
          <w:color w:val="auto"/>
          <w:sz w:val="24"/>
          <w:szCs w:val="24"/>
        </w:rPr>
        <w:t>抗DD</w:t>
      </w:r>
      <w:r>
        <w:rPr>
          <w:rFonts w:hint="eastAsia" w:asciiTheme="minorEastAsia" w:hAnsiTheme="minorEastAsia" w:cstheme="minorEastAsia"/>
          <w:b/>
          <w:color w:val="auto"/>
          <w:sz w:val="24"/>
          <w:szCs w:val="24"/>
          <w:lang w:val="en-US" w:eastAsia="zh-CN"/>
        </w:rPr>
        <w:t>o</w:t>
      </w:r>
      <w:r>
        <w:rPr>
          <w:rFonts w:hint="eastAsia" w:asciiTheme="minorEastAsia" w:hAnsiTheme="minorEastAsia" w:eastAsiaTheme="minorEastAsia" w:cstheme="minorEastAsia"/>
          <w:b/>
          <w:color w:val="auto"/>
          <w:sz w:val="24"/>
          <w:szCs w:val="24"/>
        </w:rPr>
        <w:t>S攻击服务</w:t>
      </w:r>
    </w:p>
    <w:p w14:paraId="01721D32">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7*24小时在线服务，配置64个IP清洗地址，提供攻击监测、启动流量牵引并进行异常流量清洗及分析溯源等相关服务。日常清洗能力为2Gbps，每年应提供3次不低于100Gbps的弹性防护，弹性防护时间每次不超过48小时。</w:t>
      </w:r>
    </w:p>
    <w:p w14:paraId="43C0E4CB">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1）产品能力要求</w:t>
      </w:r>
    </w:p>
    <w:p w14:paraId="622593F0">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支持对网站攻击状态进行实时监控，一旦发生攻击，即刻发出攻击告警通知，攻击结束后发出结束通知。告警通知包含攻击目标，攻击类型及攻击大小信息。</w:t>
      </w:r>
    </w:p>
    <w:p w14:paraId="4DB559EC">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产品采用近源式清洗、分布式清洗，可按需提供全国调动防护能力和全球清洗能力。</w:t>
      </w:r>
    </w:p>
    <w:p w14:paraId="1EFAA0CC">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采用基于管道侧的清洗中心，使用BGP进行全网牵引清洗或长牵引清洗，无需修改DNS配置和IP地址，只需要提供防护目标对象即可进行防护。</w:t>
      </w:r>
    </w:p>
    <w:p w14:paraId="36A0DABE">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对攻击方IP地址,进行全国在线实时流量监控和全面风险评估，当流量出现异常或者超过预先设置的阈值，自动启动防护清洗</w:t>
      </w:r>
    </w:p>
    <w:p w14:paraId="1CE71A18">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可提供对业务流量和针对攻击方IP地址（段）的DDoS攻击流量溯源分析服务</w:t>
      </w:r>
    </w:p>
    <w:p w14:paraId="0EE70D66">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2）可防御DDoS攻击类型要求</w:t>
      </w:r>
    </w:p>
    <w:p w14:paraId="1832A4E6">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抵御OSI三层网络层攻击，同时可以有效抵御各种反射攻击和僵尸网络攻击。</w:t>
      </w:r>
    </w:p>
    <w:p w14:paraId="431A2FBF">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TCP类流量攻击，例如TCP SYN+ACK、TCP FIN、TCP RESET、TCP ACK、TCP ACK+PSH、TCP Fragment等；</w:t>
      </w:r>
    </w:p>
    <w:p w14:paraId="0C3B59A3">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其他Flood类攻击，例如UDP、ICMP、IGMP和HTTP等Flood攻击，DNS flood、混合SYN+UDP or ICMP+UDP flood等；</w:t>
      </w:r>
    </w:p>
    <w:p w14:paraId="51382078">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反射类攻击，例如Smurf、UDP反射、NTP反射、DNS反射攻击等；</w:t>
      </w:r>
    </w:p>
    <w:p w14:paraId="058467E1">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其他DDoS攻击，例如Teardrop、Slowloris等。</w:t>
      </w:r>
    </w:p>
    <w:p w14:paraId="4597D6CA">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4.</w:t>
      </w:r>
      <w:r>
        <w:rPr>
          <w:rFonts w:hint="eastAsia" w:asciiTheme="minorEastAsia" w:hAnsiTheme="minorEastAsia" w:eastAsiaTheme="minorEastAsia" w:cstheme="minorEastAsia"/>
          <w:b/>
          <w:color w:val="auto"/>
          <w:sz w:val="24"/>
          <w:szCs w:val="24"/>
        </w:rPr>
        <w:t>维护及租用清单</w:t>
      </w:r>
    </w:p>
    <w:p w14:paraId="1220D91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维护及租用链路列表如下：</w:t>
      </w:r>
    </w:p>
    <w:p w14:paraId="7359C94A">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（1）二级骨干网</w:t>
      </w:r>
    </w:p>
    <w:tbl>
      <w:tblPr>
        <w:tblStyle w:val="6"/>
        <w:tblW w:w="826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78"/>
        <w:gridCol w:w="1445"/>
        <w:gridCol w:w="2073"/>
        <w:gridCol w:w="1231"/>
        <w:gridCol w:w="1382"/>
        <w:gridCol w:w="653"/>
        <w:gridCol w:w="904"/>
      </w:tblGrid>
      <w:tr w14:paraId="1ECD08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vAlign w:val="top"/>
          </w:tcPr>
          <w:p w14:paraId="3354237F">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445"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2BC3A2D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本端</w:t>
            </w:r>
          </w:p>
        </w:tc>
        <w:tc>
          <w:tcPr>
            <w:tcW w:w="2073"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5F48C528">
            <w:pPr>
              <w:pStyle w:val="10"/>
              <w:spacing w:line="360" w:lineRule="auto"/>
              <w:ind w:firstLine="78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对端</w:t>
            </w:r>
          </w:p>
        </w:tc>
        <w:tc>
          <w:tcPr>
            <w:tcW w:w="1231"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33F1C458">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速率</w:t>
            </w:r>
          </w:p>
        </w:tc>
        <w:tc>
          <w:tcPr>
            <w:tcW w:w="1382"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5D56A35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接口要求</w:t>
            </w:r>
          </w:p>
        </w:tc>
        <w:tc>
          <w:tcPr>
            <w:tcW w:w="653"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45D7596F">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904"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510784E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75440C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B48E7C8">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14D9BEF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72E5C74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5C58AF8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10Gbps</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741694A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2个以上不同物理路由</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567E754D">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904" w:type="dxa"/>
            <w:vMerge w:val="restart"/>
            <w:tcBorders>
              <w:top w:val="nil"/>
              <w:left w:val="nil"/>
              <w:bottom w:val="single" w:color="000000" w:sz="4" w:space="0"/>
              <w:right w:val="single" w:color="000000" w:sz="4" w:space="0"/>
            </w:tcBorders>
            <w:tcMar>
              <w:top w:w="0" w:type="dxa"/>
              <w:left w:w="90" w:type="dxa"/>
              <w:bottom w:w="0" w:type="dxa"/>
              <w:right w:w="90" w:type="dxa"/>
            </w:tcMar>
            <w:vAlign w:val="top"/>
          </w:tcPr>
          <w:p w14:paraId="3F7910CD">
            <w:pPr>
              <w:pStyle w:val="10"/>
              <w:spacing w:line="360" w:lineRule="auto"/>
              <w:jc w:val="center"/>
              <w:rPr>
                <w:rFonts w:hint="eastAsia" w:asciiTheme="minorEastAsia" w:hAnsiTheme="minorEastAsia" w:eastAsiaTheme="minorEastAsia" w:cstheme="minorEastAsia"/>
                <w:color w:val="auto"/>
                <w:sz w:val="24"/>
                <w:szCs w:val="24"/>
              </w:rPr>
            </w:pPr>
          </w:p>
        </w:tc>
      </w:tr>
      <w:tr w14:paraId="31EFEF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522A66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738A96B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661A554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福州公安局仓山KJY</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404DF64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10Gbps</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3BB16F3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2个以上不同物理路由</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643F97E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904" w:type="dxa"/>
            <w:vMerge w:val="continue"/>
            <w:tcBorders>
              <w:top w:val="nil"/>
              <w:left w:val="nil"/>
              <w:bottom w:val="single" w:color="000000" w:sz="4" w:space="0"/>
              <w:right w:val="single" w:color="000000" w:sz="4" w:space="0"/>
            </w:tcBorders>
          </w:tcPr>
          <w:p w14:paraId="6107D162">
            <w:pPr>
              <w:spacing w:line="360" w:lineRule="auto"/>
              <w:rPr>
                <w:rFonts w:hint="eastAsia" w:asciiTheme="minorEastAsia" w:hAnsiTheme="minorEastAsia" w:eastAsiaTheme="minorEastAsia" w:cstheme="minorEastAsia"/>
                <w:color w:val="auto"/>
                <w:sz w:val="24"/>
                <w:szCs w:val="24"/>
              </w:rPr>
            </w:pPr>
          </w:p>
        </w:tc>
      </w:tr>
      <w:tr w14:paraId="5343CE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EB7005E">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6EF6B2D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5499885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厦门公安局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54AE4CD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10Gbps</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4D5996B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多模光口，提供5个端口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1AA9282F">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04" w:type="dxa"/>
            <w:vMerge w:val="continue"/>
            <w:tcBorders>
              <w:top w:val="nil"/>
              <w:left w:val="nil"/>
              <w:bottom w:val="single" w:color="000000" w:sz="4" w:space="0"/>
              <w:right w:val="single" w:color="000000" w:sz="4" w:space="0"/>
            </w:tcBorders>
          </w:tcPr>
          <w:p w14:paraId="7E839705">
            <w:pPr>
              <w:spacing w:line="360" w:lineRule="auto"/>
              <w:rPr>
                <w:rFonts w:hint="eastAsia" w:asciiTheme="minorEastAsia" w:hAnsiTheme="minorEastAsia" w:eastAsiaTheme="minorEastAsia" w:cstheme="minorEastAsia"/>
                <w:color w:val="auto"/>
                <w:sz w:val="24"/>
                <w:szCs w:val="24"/>
              </w:rPr>
            </w:pPr>
          </w:p>
        </w:tc>
      </w:tr>
      <w:tr w14:paraId="735971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7F6714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66DB31F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1220FBB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厦门公安局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22B6FEB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10Gbps</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5B1FC94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多模光口，提供5个端口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50ACAADD">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04" w:type="dxa"/>
            <w:vMerge w:val="continue"/>
            <w:tcBorders>
              <w:top w:val="nil"/>
              <w:left w:val="nil"/>
              <w:bottom w:val="single" w:color="000000" w:sz="4" w:space="0"/>
              <w:right w:val="single" w:color="000000" w:sz="4" w:space="0"/>
            </w:tcBorders>
          </w:tcPr>
          <w:p w14:paraId="12E0B230">
            <w:pPr>
              <w:spacing w:line="360" w:lineRule="auto"/>
              <w:rPr>
                <w:rFonts w:hint="eastAsia" w:asciiTheme="minorEastAsia" w:hAnsiTheme="minorEastAsia" w:eastAsiaTheme="minorEastAsia" w:cstheme="minorEastAsia"/>
                <w:color w:val="auto"/>
                <w:sz w:val="24"/>
                <w:szCs w:val="24"/>
              </w:rPr>
            </w:pPr>
          </w:p>
        </w:tc>
      </w:tr>
      <w:tr w14:paraId="0F9BB7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CDDD1F6">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3818E79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4D12F8B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漳州公安局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222307B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10Gbps</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28E4062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多模光口，提供5个端口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76FC85E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04" w:type="dxa"/>
            <w:vMerge w:val="continue"/>
            <w:tcBorders>
              <w:top w:val="nil"/>
              <w:left w:val="nil"/>
              <w:bottom w:val="single" w:color="000000" w:sz="4" w:space="0"/>
              <w:right w:val="single" w:color="000000" w:sz="4" w:space="0"/>
            </w:tcBorders>
          </w:tcPr>
          <w:p w14:paraId="4B7CBA69">
            <w:pPr>
              <w:spacing w:line="360" w:lineRule="auto"/>
              <w:rPr>
                <w:rFonts w:hint="eastAsia" w:asciiTheme="minorEastAsia" w:hAnsiTheme="minorEastAsia" w:eastAsiaTheme="minorEastAsia" w:cstheme="minorEastAsia"/>
                <w:color w:val="auto"/>
                <w:sz w:val="24"/>
                <w:szCs w:val="24"/>
              </w:rPr>
            </w:pPr>
          </w:p>
        </w:tc>
      </w:tr>
      <w:tr w14:paraId="7A87A8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2A4B15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1D800FB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35FC6AA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漳州公安局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36B0C35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10Gbps</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53D9AC0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多模光口，提供5个端口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5D7EFA6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04" w:type="dxa"/>
            <w:vMerge w:val="continue"/>
            <w:tcBorders>
              <w:top w:val="nil"/>
              <w:left w:val="nil"/>
              <w:bottom w:val="single" w:color="000000" w:sz="4" w:space="0"/>
              <w:right w:val="single" w:color="000000" w:sz="4" w:space="0"/>
            </w:tcBorders>
          </w:tcPr>
          <w:p w14:paraId="0306705C">
            <w:pPr>
              <w:spacing w:line="360" w:lineRule="auto"/>
              <w:rPr>
                <w:rFonts w:hint="eastAsia" w:asciiTheme="minorEastAsia" w:hAnsiTheme="minorEastAsia" w:eastAsiaTheme="minorEastAsia" w:cstheme="minorEastAsia"/>
                <w:color w:val="auto"/>
                <w:sz w:val="24"/>
                <w:szCs w:val="24"/>
              </w:rPr>
            </w:pPr>
          </w:p>
        </w:tc>
      </w:tr>
      <w:tr w14:paraId="03DCF8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44D1F56">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6013B90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7AAEDA5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泉州公安局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1EF4848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10Gbps</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565DBEA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多模光口，提供5个端口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729BEBF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04" w:type="dxa"/>
            <w:vMerge w:val="continue"/>
            <w:tcBorders>
              <w:top w:val="nil"/>
              <w:left w:val="nil"/>
              <w:bottom w:val="single" w:color="000000" w:sz="4" w:space="0"/>
              <w:right w:val="single" w:color="000000" w:sz="4" w:space="0"/>
            </w:tcBorders>
          </w:tcPr>
          <w:p w14:paraId="1732BF48">
            <w:pPr>
              <w:spacing w:line="360" w:lineRule="auto"/>
              <w:rPr>
                <w:rFonts w:hint="eastAsia" w:asciiTheme="minorEastAsia" w:hAnsiTheme="minorEastAsia" w:eastAsiaTheme="minorEastAsia" w:cstheme="minorEastAsia"/>
                <w:color w:val="auto"/>
                <w:sz w:val="24"/>
                <w:szCs w:val="24"/>
              </w:rPr>
            </w:pPr>
          </w:p>
        </w:tc>
      </w:tr>
      <w:tr w14:paraId="3BEB65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7EE30F3">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379C394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67EAD7A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泉州公安局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7E257AA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10Gbps</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382523A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多模光口，提供5个端口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3C52FC86">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04" w:type="dxa"/>
            <w:vMerge w:val="continue"/>
            <w:tcBorders>
              <w:top w:val="nil"/>
              <w:left w:val="nil"/>
              <w:bottom w:val="single" w:color="000000" w:sz="4" w:space="0"/>
              <w:right w:val="single" w:color="000000" w:sz="4" w:space="0"/>
            </w:tcBorders>
          </w:tcPr>
          <w:p w14:paraId="731DB1A7">
            <w:pPr>
              <w:spacing w:line="360" w:lineRule="auto"/>
              <w:rPr>
                <w:rFonts w:hint="eastAsia" w:asciiTheme="minorEastAsia" w:hAnsiTheme="minorEastAsia" w:eastAsiaTheme="minorEastAsia" w:cstheme="minorEastAsia"/>
                <w:color w:val="auto"/>
                <w:sz w:val="24"/>
                <w:szCs w:val="24"/>
              </w:rPr>
            </w:pPr>
          </w:p>
        </w:tc>
      </w:tr>
      <w:tr w14:paraId="5DC1BD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D58A83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1254A44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7B8E4AC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莆田公安局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6C16E31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10Gbps</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102193E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多模光口，提供5个端口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0B561614">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04" w:type="dxa"/>
            <w:vMerge w:val="continue"/>
            <w:tcBorders>
              <w:top w:val="nil"/>
              <w:left w:val="nil"/>
              <w:bottom w:val="single" w:color="000000" w:sz="4" w:space="0"/>
              <w:right w:val="single" w:color="000000" w:sz="4" w:space="0"/>
            </w:tcBorders>
          </w:tcPr>
          <w:p w14:paraId="2C18FB73">
            <w:pPr>
              <w:spacing w:line="360" w:lineRule="auto"/>
              <w:rPr>
                <w:rFonts w:hint="eastAsia" w:asciiTheme="minorEastAsia" w:hAnsiTheme="minorEastAsia" w:eastAsiaTheme="minorEastAsia" w:cstheme="minorEastAsia"/>
                <w:color w:val="auto"/>
                <w:sz w:val="24"/>
                <w:szCs w:val="24"/>
              </w:rPr>
            </w:pPr>
          </w:p>
        </w:tc>
      </w:tr>
      <w:tr w14:paraId="1AC800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F70B120">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5C1D28B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6ACE243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莆田公安局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56F9AA8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10Gbps</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3CAFED4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多模光口，提供5个端口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1E8C1C76">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04" w:type="dxa"/>
            <w:vMerge w:val="continue"/>
            <w:tcBorders>
              <w:top w:val="nil"/>
              <w:left w:val="nil"/>
              <w:bottom w:val="single" w:color="000000" w:sz="4" w:space="0"/>
              <w:right w:val="single" w:color="000000" w:sz="4" w:space="0"/>
            </w:tcBorders>
          </w:tcPr>
          <w:p w14:paraId="29B10CF5">
            <w:pPr>
              <w:spacing w:line="360" w:lineRule="auto"/>
              <w:rPr>
                <w:rFonts w:hint="eastAsia" w:asciiTheme="minorEastAsia" w:hAnsiTheme="minorEastAsia" w:eastAsiaTheme="minorEastAsia" w:cstheme="minorEastAsia"/>
                <w:color w:val="auto"/>
                <w:sz w:val="24"/>
                <w:szCs w:val="24"/>
              </w:rPr>
            </w:pPr>
          </w:p>
        </w:tc>
      </w:tr>
      <w:tr w14:paraId="1ABC8A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166F6B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07402F8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2DCE786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三明公安局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18DEEC5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10Gbps</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493FB68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多模光口，提供5个端口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22706446">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04" w:type="dxa"/>
            <w:vMerge w:val="continue"/>
            <w:tcBorders>
              <w:top w:val="nil"/>
              <w:left w:val="nil"/>
              <w:bottom w:val="single" w:color="000000" w:sz="4" w:space="0"/>
              <w:right w:val="single" w:color="000000" w:sz="4" w:space="0"/>
            </w:tcBorders>
          </w:tcPr>
          <w:p w14:paraId="4AA3D38F">
            <w:pPr>
              <w:spacing w:line="360" w:lineRule="auto"/>
              <w:rPr>
                <w:rFonts w:hint="eastAsia" w:asciiTheme="minorEastAsia" w:hAnsiTheme="minorEastAsia" w:eastAsiaTheme="minorEastAsia" w:cstheme="minorEastAsia"/>
                <w:color w:val="auto"/>
                <w:sz w:val="24"/>
                <w:szCs w:val="24"/>
              </w:rPr>
            </w:pPr>
          </w:p>
        </w:tc>
      </w:tr>
      <w:tr w14:paraId="4F0F24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E41B508">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4F244F0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2E3B47F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三明公安局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3B509CB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10Gbps</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5C351EF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多模光口，提供5个端口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54C5816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04" w:type="dxa"/>
            <w:vMerge w:val="continue"/>
            <w:tcBorders>
              <w:top w:val="nil"/>
              <w:left w:val="nil"/>
              <w:bottom w:val="single" w:color="000000" w:sz="4" w:space="0"/>
              <w:right w:val="single" w:color="000000" w:sz="4" w:space="0"/>
            </w:tcBorders>
          </w:tcPr>
          <w:p w14:paraId="6D54A7F4">
            <w:pPr>
              <w:spacing w:line="360" w:lineRule="auto"/>
              <w:rPr>
                <w:rFonts w:hint="eastAsia" w:asciiTheme="minorEastAsia" w:hAnsiTheme="minorEastAsia" w:eastAsiaTheme="minorEastAsia" w:cstheme="minorEastAsia"/>
                <w:color w:val="auto"/>
                <w:sz w:val="24"/>
                <w:szCs w:val="24"/>
              </w:rPr>
            </w:pPr>
          </w:p>
        </w:tc>
      </w:tr>
      <w:tr w14:paraId="35D297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992DB6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6B38FE7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2CA3462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南平公安局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152F5AD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10Gbps</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121F8F0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多模光口，提供5个端口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615782D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04" w:type="dxa"/>
            <w:vMerge w:val="continue"/>
            <w:tcBorders>
              <w:top w:val="nil"/>
              <w:left w:val="nil"/>
              <w:bottom w:val="single" w:color="000000" w:sz="4" w:space="0"/>
              <w:right w:val="single" w:color="000000" w:sz="4" w:space="0"/>
            </w:tcBorders>
          </w:tcPr>
          <w:p w14:paraId="084E476A">
            <w:pPr>
              <w:spacing w:line="360" w:lineRule="auto"/>
              <w:rPr>
                <w:rFonts w:hint="eastAsia" w:asciiTheme="minorEastAsia" w:hAnsiTheme="minorEastAsia" w:eastAsiaTheme="minorEastAsia" w:cstheme="minorEastAsia"/>
                <w:color w:val="auto"/>
                <w:sz w:val="24"/>
                <w:szCs w:val="24"/>
              </w:rPr>
            </w:pPr>
          </w:p>
        </w:tc>
      </w:tr>
      <w:tr w14:paraId="6ADFE1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A50AF64">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647B55C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281572A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南平公安局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26D6423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10Gbps</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3378516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多模光口，提供5个端口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4379094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04" w:type="dxa"/>
            <w:vMerge w:val="continue"/>
            <w:tcBorders>
              <w:top w:val="nil"/>
              <w:left w:val="nil"/>
              <w:bottom w:val="single" w:color="000000" w:sz="4" w:space="0"/>
              <w:right w:val="single" w:color="000000" w:sz="4" w:space="0"/>
            </w:tcBorders>
          </w:tcPr>
          <w:p w14:paraId="1753FFA0">
            <w:pPr>
              <w:spacing w:line="360" w:lineRule="auto"/>
              <w:rPr>
                <w:rFonts w:hint="eastAsia" w:asciiTheme="minorEastAsia" w:hAnsiTheme="minorEastAsia" w:eastAsiaTheme="minorEastAsia" w:cstheme="minorEastAsia"/>
                <w:color w:val="auto"/>
                <w:sz w:val="24"/>
                <w:szCs w:val="24"/>
              </w:rPr>
            </w:pPr>
          </w:p>
        </w:tc>
      </w:tr>
      <w:tr w14:paraId="27ACF7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49DE81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0021FD7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67021F6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龙岩公安局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1779912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10Gbps</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799ADC7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多模光口，提供5个端口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3C243A9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04" w:type="dxa"/>
            <w:vMerge w:val="continue"/>
            <w:tcBorders>
              <w:top w:val="nil"/>
              <w:left w:val="nil"/>
              <w:bottom w:val="single" w:color="000000" w:sz="4" w:space="0"/>
              <w:right w:val="single" w:color="000000" w:sz="4" w:space="0"/>
            </w:tcBorders>
          </w:tcPr>
          <w:p w14:paraId="599CCAF4">
            <w:pPr>
              <w:spacing w:line="360" w:lineRule="auto"/>
              <w:rPr>
                <w:rFonts w:hint="eastAsia" w:asciiTheme="minorEastAsia" w:hAnsiTheme="minorEastAsia" w:eastAsiaTheme="minorEastAsia" w:cstheme="minorEastAsia"/>
                <w:color w:val="auto"/>
                <w:sz w:val="24"/>
                <w:szCs w:val="24"/>
              </w:rPr>
            </w:pPr>
          </w:p>
        </w:tc>
      </w:tr>
      <w:tr w14:paraId="0FA472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403F0FB">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19137E1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6EE0CCE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龙岩公安局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662CF4F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10Gbps</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267D14B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多模光口，提供5个端口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4870B3FD">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04" w:type="dxa"/>
            <w:vMerge w:val="continue"/>
            <w:tcBorders>
              <w:top w:val="nil"/>
              <w:left w:val="nil"/>
              <w:bottom w:val="single" w:color="000000" w:sz="4" w:space="0"/>
              <w:right w:val="single" w:color="000000" w:sz="4" w:space="0"/>
            </w:tcBorders>
          </w:tcPr>
          <w:p w14:paraId="48644FC7">
            <w:pPr>
              <w:spacing w:line="360" w:lineRule="auto"/>
              <w:rPr>
                <w:rFonts w:hint="eastAsia" w:asciiTheme="minorEastAsia" w:hAnsiTheme="minorEastAsia" w:eastAsiaTheme="minorEastAsia" w:cstheme="minorEastAsia"/>
                <w:color w:val="auto"/>
                <w:sz w:val="24"/>
                <w:szCs w:val="24"/>
              </w:rPr>
            </w:pPr>
          </w:p>
        </w:tc>
      </w:tr>
      <w:tr w14:paraId="435246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007B8B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06A0554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0AE3758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宁德公安局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2763963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10Gbps</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61BFC19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多模光口，提供5个端口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58CB9F2E">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04" w:type="dxa"/>
            <w:vMerge w:val="continue"/>
            <w:tcBorders>
              <w:top w:val="nil"/>
              <w:left w:val="nil"/>
              <w:bottom w:val="single" w:color="000000" w:sz="4" w:space="0"/>
              <w:right w:val="single" w:color="000000" w:sz="4" w:space="0"/>
            </w:tcBorders>
          </w:tcPr>
          <w:p w14:paraId="57B4C43D">
            <w:pPr>
              <w:spacing w:line="360" w:lineRule="auto"/>
              <w:rPr>
                <w:rFonts w:hint="eastAsia" w:asciiTheme="minorEastAsia" w:hAnsiTheme="minorEastAsia" w:eastAsiaTheme="minorEastAsia" w:cstheme="minorEastAsia"/>
                <w:color w:val="auto"/>
                <w:sz w:val="24"/>
                <w:szCs w:val="24"/>
              </w:rPr>
            </w:pPr>
          </w:p>
        </w:tc>
      </w:tr>
      <w:tr w14:paraId="1DAA5D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6E35F8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4B46B67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52DA2E1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宁德公安局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3A4E33E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10Gbps</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3A3083B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多模光口，提供5个端口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77A1A65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04" w:type="dxa"/>
            <w:vMerge w:val="continue"/>
            <w:tcBorders>
              <w:top w:val="nil"/>
              <w:left w:val="nil"/>
              <w:bottom w:val="single" w:color="000000" w:sz="4" w:space="0"/>
              <w:right w:val="single" w:color="000000" w:sz="4" w:space="0"/>
            </w:tcBorders>
          </w:tcPr>
          <w:p w14:paraId="5075FE4B">
            <w:pPr>
              <w:spacing w:line="360" w:lineRule="auto"/>
              <w:rPr>
                <w:rFonts w:hint="eastAsia" w:asciiTheme="minorEastAsia" w:hAnsiTheme="minorEastAsia" w:eastAsiaTheme="minorEastAsia" w:cstheme="minorEastAsia"/>
                <w:color w:val="auto"/>
                <w:sz w:val="24"/>
                <w:szCs w:val="24"/>
              </w:rPr>
            </w:pPr>
          </w:p>
        </w:tc>
      </w:tr>
      <w:tr w14:paraId="7A02DB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E60AC3E">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763B018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02AFE31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平潭公安局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22BD19A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10Gbps</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1C1956F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多模光口，提供5个端口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48C7764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04" w:type="dxa"/>
            <w:vMerge w:val="continue"/>
            <w:tcBorders>
              <w:top w:val="nil"/>
              <w:left w:val="nil"/>
              <w:bottom w:val="single" w:color="000000" w:sz="4" w:space="0"/>
              <w:right w:val="single" w:color="000000" w:sz="4" w:space="0"/>
            </w:tcBorders>
          </w:tcPr>
          <w:p w14:paraId="11DED7D3">
            <w:pPr>
              <w:spacing w:line="360" w:lineRule="auto"/>
              <w:rPr>
                <w:rFonts w:hint="eastAsia" w:asciiTheme="minorEastAsia" w:hAnsiTheme="minorEastAsia" w:eastAsiaTheme="minorEastAsia" w:cstheme="minorEastAsia"/>
                <w:color w:val="auto"/>
                <w:sz w:val="24"/>
                <w:szCs w:val="24"/>
              </w:rPr>
            </w:pPr>
          </w:p>
        </w:tc>
      </w:tr>
      <w:tr w14:paraId="19710F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216C54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7EA0ED5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2062B17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平潭公安局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0BC4354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10Gbps</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13AEF80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多模光口，提供5个端口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02679D78">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04" w:type="dxa"/>
            <w:vMerge w:val="continue"/>
            <w:tcBorders>
              <w:top w:val="nil"/>
              <w:left w:val="nil"/>
              <w:bottom w:val="single" w:color="000000" w:sz="4" w:space="0"/>
              <w:right w:val="single" w:color="000000" w:sz="4" w:space="0"/>
            </w:tcBorders>
          </w:tcPr>
          <w:p w14:paraId="72344F8A">
            <w:pPr>
              <w:spacing w:line="360" w:lineRule="auto"/>
              <w:rPr>
                <w:rFonts w:hint="eastAsia" w:asciiTheme="minorEastAsia" w:hAnsiTheme="minorEastAsia" w:eastAsiaTheme="minorEastAsia" w:cstheme="minorEastAsia"/>
                <w:color w:val="auto"/>
                <w:sz w:val="24"/>
                <w:szCs w:val="24"/>
              </w:rPr>
            </w:pPr>
          </w:p>
        </w:tc>
      </w:tr>
      <w:tr w14:paraId="7A32E1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9A69FBA">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13AB4B8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141A67C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2273A9F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2M SDH</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10C4B26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E1</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29C9565E">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04" w:type="dxa"/>
            <w:vMerge w:val="restart"/>
            <w:tcBorders>
              <w:top w:val="nil"/>
              <w:left w:val="nil"/>
              <w:bottom w:val="single" w:color="000000" w:sz="4" w:space="0"/>
              <w:right w:val="single" w:color="000000" w:sz="4" w:space="0"/>
            </w:tcBorders>
            <w:tcMar>
              <w:top w:w="0" w:type="dxa"/>
              <w:left w:w="90" w:type="dxa"/>
              <w:bottom w:w="0" w:type="dxa"/>
              <w:right w:w="90" w:type="dxa"/>
            </w:tcMar>
            <w:vAlign w:val="top"/>
          </w:tcPr>
          <w:p w14:paraId="5B805F23">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程控交换机全省联网</w:t>
            </w:r>
          </w:p>
        </w:tc>
      </w:tr>
      <w:tr w14:paraId="6636D2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8A6296A">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3237D06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52E5EB8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厦门公安局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32001FA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2M SDH</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6204BE8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E1</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6B276AEA">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04" w:type="dxa"/>
            <w:vMerge w:val="continue"/>
            <w:tcBorders>
              <w:top w:val="nil"/>
              <w:left w:val="nil"/>
              <w:bottom w:val="single" w:color="000000" w:sz="4" w:space="0"/>
              <w:right w:val="single" w:color="000000" w:sz="4" w:space="0"/>
            </w:tcBorders>
          </w:tcPr>
          <w:p w14:paraId="4AC5BF7B">
            <w:pPr>
              <w:spacing w:line="360" w:lineRule="auto"/>
              <w:rPr>
                <w:rFonts w:hint="eastAsia" w:asciiTheme="minorEastAsia" w:hAnsiTheme="minorEastAsia" w:eastAsiaTheme="minorEastAsia" w:cstheme="minorEastAsia"/>
                <w:color w:val="auto"/>
                <w:sz w:val="24"/>
                <w:szCs w:val="24"/>
              </w:rPr>
            </w:pPr>
          </w:p>
        </w:tc>
      </w:tr>
      <w:tr w14:paraId="6AF716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0E2ED0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0A0D24A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36E6362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漳州公安局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49E7883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2M SDH</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4A0A8FB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E1</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2F5EC12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04" w:type="dxa"/>
            <w:vMerge w:val="continue"/>
            <w:tcBorders>
              <w:top w:val="nil"/>
              <w:left w:val="nil"/>
              <w:bottom w:val="single" w:color="000000" w:sz="4" w:space="0"/>
              <w:right w:val="single" w:color="000000" w:sz="4" w:space="0"/>
            </w:tcBorders>
          </w:tcPr>
          <w:p w14:paraId="51FF46E2">
            <w:pPr>
              <w:spacing w:line="360" w:lineRule="auto"/>
              <w:rPr>
                <w:rFonts w:hint="eastAsia" w:asciiTheme="minorEastAsia" w:hAnsiTheme="minorEastAsia" w:eastAsiaTheme="minorEastAsia" w:cstheme="minorEastAsia"/>
                <w:color w:val="auto"/>
                <w:sz w:val="24"/>
                <w:szCs w:val="24"/>
              </w:rPr>
            </w:pPr>
          </w:p>
        </w:tc>
      </w:tr>
      <w:tr w14:paraId="50BDEA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AA9135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536ED4C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74E248A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泉州公安局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4218A0C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2M SDH</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2944609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E1</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0A61DBA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04" w:type="dxa"/>
            <w:vMerge w:val="continue"/>
            <w:tcBorders>
              <w:top w:val="nil"/>
              <w:left w:val="nil"/>
              <w:bottom w:val="single" w:color="000000" w:sz="4" w:space="0"/>
              <w:right w:val="single" w:color="000000" w:sz="4" w:space="0"/>
            </w:tcBorders>
          </w:tcPr>
          <w:p w14:paraId="4E08E9C6">
            <w:pPr>
              <w:spacing w:line="360" w:lineRule="auto"/>
              <w:rPr>
                <w:rFonts w:hint="eastAsia" w:asciiTheme="minorEastAsia" w:hAnsiTheme="minorEastAsia" w:eastAsiaTheme="minorEastAsia" w:cstheme="minorEastAsia"/>
                <w:color w:val="auto"/>
                <w:sz w:val="24"/>
                <w:szCs w:val="24"/>
              </w:rPr>
            </w:pPr>
          </w:p>
        </w:tc>
      </w:tr>
      <w:tr w14:paraId="6456FE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F884DF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4084402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2E50CED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莆田公安局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276D8D0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2M SDH</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74B94B4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E1</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56B5BCBB">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04" w:type="dxa"/>
            <w:vMerge w:val="continue"/>
            <w:tcBorders>
              <w:top w:val="nil"/>
              <w:left w:val="nil"/>
              <w:bottom w:val="single" w:color="000000" w:sz="4" w:space="0"/>
              <w:right w:val="single" w:color="000000" w:sz="4" w:space="0"/>
            </w:tcBorders>
          </w:tcPr>
          <w:p w14:paraId="56F398CD">
            <w:pPr>
              <w:spacing w:line="360" w:lineRule="auto"/>
              <w:rPr>
                <w:rFonts w:hint="eastAsia" w:asciiTheme="minorEastAsia" w:hAnsiTheme="minorEastAsia" w:eastAsiaTheme="minorEastAsia" w:cstheme="minorEastAsia"/>
                <w:color w:val="auto"/>
                <w:sz w:val="24"/>
                <w:szCs w:val="24"/>
              </w:rPr>
            </w:pPr>
          </w:p>
        </w:tc>
      </w:tr>
      <w:tr w14:paraId="4E8D29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DD8F14F">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31D73C2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7A6EE4B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三明公安局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543F01E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2M SDH</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61EADB6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E1</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72BBCF2A">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04" w:type="dxa"/>
            <w:vMerge w:val="continue"/>
            <w:tcBorders>
              <w:top w:val="nil"/>
              <w:left w:val="nil"/>
              <w:bottom w:val="single" w:color="000000" w:sz="4" w:space="0"/>
              <w:right w:val="single" w:color="000000" w:sz="4" w:space="0"/>
            </w:tcBorders>
          </w:tcPr>
          <w:p w14:paraId="043DA766">
            <w:pPr>
              <w:spacing w:line="360" w:lineRule="auto"/>
              <w:rPr>
                <w:rFonts w:hint="eastAsia" w:asciiTheme="minorEastAsia" w:hAnsiTheme="minorEastAsia" w:eastAsiaTheme="minorEastAsia" w:cstheme="minorEastAsia"/>
                <w:color w:val="auto"/>
                <w:sz w:val="24"/>
                <w:szCs w:val="24"/>
              </w:rPr>
            </w:pPr>
          </w:p>
        </w:tc>
      </w:tr>
      <w:tr w14:paraId="7632D6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1E3C92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0554654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773FA68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南平公安局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7B9BF11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2M SDH</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2BD5355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E1</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4CD8265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04" w:type="dxa"/>
            <w:vMerge w:val="continue"/>
            <w:tcBorders>
              <w:top w:val="nil"/>
              <w:left w:val="nil"/>
              <w:bottom w:val="single" w:color="000000" w:sz="4" w:space="0"/>
              <w:right w:val="single" w:color="000000" w:sz="4" w:space="0"/>
            </w:tcBorders>
          </w:tcPr>
          <w:p w14:paraId="4377EE87">
            <w:pPr>
              <w:spacing w:line="360" w:lineRule="auto"/>
              <w:rPr>
                <w:rFonts w:hint="eastAsia" w:asciiTheme="minorEastAsia" w:hAnsiTheme="minorEastAsia" w:eastAsiaTheme="minorEastAsia" w:cstheme="minorEastAsia"/>
                <w:color w:val="auto"/>
                <w:sz w:val="24"/>
                <w:szCs w:val="24"/>
              </w:rPr>
            </w:pPr>
          </w:p>
        </w:tc>
      </w:tr>
      <w:tr w14:paraId="30E7E9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5BF5B53">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28</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6A1F294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0167351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龙岩公安局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46315A9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2M SDH</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3C30167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E1</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6EE34AD4">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04" w:type="dxa"/>
            <w:vMerge w:val="continue"/>
            <w:tcBorders>
              <w:top w:val="nil"/>
              <w:left w:val="nil"/>
              <w:bottom w:val="single" w:color="000000" w:sz="4" w:space="0"/>
              <w:right w:val="single" w:color="000000" w:sz="4" w:space="0"/>
            </w:tcBorders>
          </w:tcPr>
          <w:p w14:paraId="3AFB2748">
            <w:pPr>
              <w:spacing w:line="360" w:lineRule="auto"/>
              <w:rPr>
                <w:rFonts w:hint="eastAsia" w:asciiTheme="minorEastAsia" w:hAnsiTheme="minorEastAsia" w:eastAsiaTheme="minorEastAsia" w:cstheme="minorEastAsia"/>
                <w:color w:val="auto"/>
                <w:sz w:val="24"/>
                <w:szCs w:val="24"/>
              </w:rPr>
            </w:pPr>
          </w:p>
        </w:tc>
      </w:tr>
      <w:tr w14:paraId="2B0D79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DA3979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29</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76794D0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06D1DF2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宁德公安局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1CC254B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2M SDH</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6F9F47D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E1</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4E85FFEE">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04" w:type="dxa"/>
            <w:vMerge w:val="continue"/>
            <w:tcBorders>
              <w:top w:val="nil"/>
              <w:left w:val="nil"/>
              <w:bottom w:val="single" w:color="000000" w:sz="4" w:space="0"/>
              <w:right w:val="single" w:color="000000" w:sz="4" w:space="0"/>
            </w:tcBorders>
          </w:tcPr>
          <w:p w14:paraId="11FAF668">
            <w:pPr>
              <w:spacing w:line="360" w:lineRule="auto"/>
              <w:rPr>
                <w:rFonts w:hint="eastAsia" w:asciiTheme="minorEastAsia" w:hAnsiTheme="minorEastAsia" w:eastAsiaTheme="minorEastAsia" w:cstheme="minorEastAsia"/>
                <w:color w:val="auto"/>
                <w:sz w:val="24"/>
                <w:szCs w:val="24"/>
              </w:rPr>
            </w:pPr>
          </w:p>
        </w:tc>
      </w:tr>
      <w:tr w14:paraId="1A961B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4940BA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248DF18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4893404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平潭公安局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4D82623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2M SDH</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5BFD2D3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E1</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7C6124A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04" w:type="dxa"/>
            <w:vMerge w:val="continue"/>
            <w:tcBorders>
              <w:top w:val="nil"/>
              <w:left w:val="nil"/>
              <w:bottom w:val="single" w:color="000000" w:sz="4" w:space="0"/>
              <w:right w:val="single" w:color="000000" w:sz="4" w:space="0"/>
            </w:tcBorders>
          </w:tcPr>
          <w:p w14:paraId="1F47FA64">
            <w:pPr>
              <w:spacing w:line="360" w:lineRule="auto"/>
              <w:rPr>
                <w:rFonts w:hint="eastAsia" w:asciiTheme="minorEastAsia" w:hAnsiTheme="minorEastAsia" w:eastAsiaTheme="minorEastAsia" w:cstheme="minorEastAsia"/>
                <w:color w:val="auto"/>
                <w:sz w:val="24"/>
                <w:szCs w:val="24"/>
              </w:rPr>
            </w:pPr>
          </w:p>
        </w:tc>
      </w:tr>
      <w:tr w14:paraId="685737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37D9B96">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31860CC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195955A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1951DAB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2CBB9DA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2个以上不同物理路由</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0AFD3CC8">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904" w:type="dxa"/>
            <w:vMerge w:val="restart"/>
            <w:tcBorders>
              <w:top w:val="nil"/>
              <w:left w:val="nil"/>
              <w:bottom w:val="single" w:color="000000" w:sz="4" w:space="0"/>
              <w:right w:val="single" w:color="000000" w:sz="4" w:space="0"/>
            </w:tcBorders>
            <w:tcMar>
              <w:top w:w="0" w:type="dxa"/>
              <w:left w:w="90" w:type="dxa"/>
              <w:bottom w:w="0" w:type="dxa"/>
              <w:right w:w="90" w:type="dxa"/>
            </w:tcMar>
            <w:vAlign w:val="top"/>
          </w:tcPr>
          <w:p w14:paraId="70AE4618">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不同运营商备份线路</w:t>
            </w:r>
          </w:p>
          <w:p w14:paraId="128E2A6A">
            <w:pPr>
              <w:pStyle w:val="10"/>
              <w:spacing w:line="360" w:lineRule="auto"/>
              <w:ind w:firstLine="480"/>
              <w:jc w:val="center"/>
              <w:rPr>
                <w:rFonts w:hint="eastAsia" w:asciiTheme="minorEastAsia" w:hAnsiTheme="minorEastAsia" w:eastAsiaTheme="minorEastAsia" w:cstheme="minorEastAsia"/>
                <w:color w:val="auto"/>
                <w:sz w:val="24"/>
                <w:szCs w:val="24"/>
              </w:rPr>
            </w:pPr>
          </w:p>
        </w:tc>
      </w:tr>
      <w:tr w14:paraId="51F456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695A5B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3D60140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6AF720F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福州公安局仓山KJY</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50DE874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739D6A4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2个以上不同物理路由</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6D15B51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904" w:type="dxa"/>
            <w:vMerge w:val="continue"/>
            <w:tcBorders>
              <w:top w:val="nil"/>
              <w:left w:val="nil"/>
              <w:bottom w:val="single" w:color="000000" w:sz="4" w:space="0"/>
              <w:right w:val="single" w:color="000000" w:sz="4" w:space="0"/>
            </w:tcBorders>
          </w:tcPr>
          <w:p w14:paraId="259A021B">
            <w:pPr>
              <w:spacing w:line="360" w:lineRule="auto"/>
              <w:rPr>
                <w:rFonts w:hint="eastAsia" w:asciiTheme="minorEastAsia" w:hAnsiTheme="minorEastAsia" w:eastAsiaTheme="minorEastAsia" w:cstheme="minorEastAsia"/>
                <w:color w:val="auto"/>
                <w:sz w:val="24"/>
                <w:szCs w:val="24"/>
              </w:rPr>
            </w:pPr>
          </w:p>
        </w:tc>
      </w:tr>
      <w:tr w14:paraId="517791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02CCBA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43FE783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6878FE0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厦门公安局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216E58A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1000M</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4A148D0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230A92A0">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04" w:type="dxa"/>
            <w:vMerge w:val="continue"/>
            <w:tcBorders>
              <w:top w:val="nil"/>
              <w:left w:val="nil"/>
              <w:bottom w:val="single" w:color="000000" w:sz="4" w:space="0"/>
              <w:right w:val="single" w:color="000000" w:sz="4" w:space="0"/>
            </w:tcBorders>
          </w:tcPr>
          <w:p w14:paraId="3BC36641">
            <w:pPr>
              <w:spacing w:line="360" w:lineRule="auto"/>
              <w:rPr>
                <w:rFonts w:hint="eastAsia" w:asciiTheme="minorEastAsia" w:hAnsiTheme="minorEastAsia" w:eastAsiaTheme="minorEastAsia" w:cstheme="minorEastAsia"/>
                <w:color w:val="auto"/>
                <w:sz w:val="24"/>
                <w:szCs w:val="24"/>
              </w:rPr>
            </w:pPr>
          </w:p>
        </w:tc>
      </w:tr>
      <w:tr w14:paraId="29D634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0A27CC6">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34</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6C7FF39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4D82ED3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漳州公安局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363BA83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1000M</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0B97CD2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099CF98F">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04" w:type="dxa"/>
            <w:vMerge w:val="continue"/>
            <w:tcBorders>
              <w:top w:val="nil"/>
              <w:left w:val="nil"/>
              <w:bottom w:val="single" w:color="000000" w:sz="4" w:space="0"/>
              <w:right w:val="single" w:color="000000" w:sz="4" w:space="0"/>
            </w:tcBorders>
          </w:tcPr>
          <w:p w14:paraId="1DDC9C06">
            <w:pPr>
              <w:spacing w:line="360" w:lineRule="auto"/>
              <w:rPr>
                <w:rFonts w:hint="eastAsia" w:asciiTheme="minorEastAsia" w:hAnsiTheme="minorEastAsia" w:eastAsiaTheme="minorEastAsia" w:cstheme="minorEastAsia"/>
                <w:color w:val="auto"/>
                <w:sz w:val="24"/>
                <w:szCs w:val="24"/>
              </w:rPr>
            </w:pPr>
          </w:p>
        </w:tc>
      </w:tr>
      <w:tr w14:paraId="27C453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411647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35</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3061699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0B8CA38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泉州公安局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6D4091B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1000M</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710EF92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2DFF169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04" w:type="dxa"/>
            <w:vMerge w:val="continue"/>
            <w:tcBorders>
              <w:top w:val="nil"/>
              <w:left w:val="nil"/>
              <w:bottom w:val="single" w:color="000000" w:sz="4" w:space="0"/>
              <w:right w:val="single" w:color="000000" w:sz="4" w:space="0"/>
            </w:tcBorders>
          </w:tcPr>
          <w:p w14:paraId="2F401AF2">
            <w:pPr>
              <w:spacing w:line="360" w:lineRule="auto"/>
              <w:rPr>
                <w:rFonts w:hint="eastAsia" w:asciiTheme="minorEastAsia" w:hAnsiTheme="minorEastAsia" w:eastAsiaTheme="minorEastAsia" w:cstheme="minorEastAsia"/>
                <w:color w:val="auto"/>
                <w:sz w:val="24"/>
                <w:szCs w:val="24"/>
              </w:rPr>
            </w:pPr>
          </w:p>
        </w:tc>
      </w:tr>
      <w:tr w14:paraId="40E765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82F59D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72743C7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3F7ECD2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莆田公安局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14B45C1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1000M</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57CE44A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003AF2F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04" w:type="dxa"/>
            <w:vMerge w:val="continue"/>
            <w:tcBorders>
              <w:top w:val="nil"/>
              <w:left w:val="nil"/>
              <w:bottom w:val="single" w:color="000000" w:sz="4" w:space="0"/>
              <w:right w:val="single" w:color="000000" w:sz="4" w:space="0"/>
            </w:tcBorders>
          </w:tcPr>
          <w:p w14:paraId="50C00C51">
            <w:pPr>
              <w:spacing w:line="360" w:lineRule="auto"/>
              <w:rPr>
                <w:rFonts w:hint="eastAsia" w:asciiTheme="minorEastAsia" w:hAnsiTheme="minorEastAsia" w:eastAsiaTheme="minorEastAsia" w:cstheme="minorEastAsia"/>
                <w:color w:val="auto"/>
                <w:sz w:val="24"/>
                <w:szCs w:val="24"/>
              </w:rPr>
            </w:pPr>
          </w:p>
        </w:tc>
      </w:tr>
      <w:tr w14:paraId="205F3B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C55BB23">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16FFC00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14A6277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三明公安局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5D5219C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1000M</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40FE784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05F2783A">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04" w:type="dxa"/>
            <w:vMerge w:val="continue"/>
            <w:tcBorders>
              <w:top w:val="nil"/>
              <w:left w:val="nil"/>
              <w:bottom w:val="single" w:color="000000" w:sz="4" w:space="0"/>
              <w:right w:val="single" w:color="000000" w:sz="4" w:space="0"/>
            </w:tcBorders>
          </w:tcPr>
          <w:p w14:paraId="542B7FAF">
            <w:pPr>
              <w:spacing w:line="360" w:lineRule="auto"/>
              <w:rPr>
                <w:rFonts w:hint="eastAsia" w:asciiTheme="minorEastAsia" w:hAnsiTheme="minorEastAsia" w:eastAsiaTheme="minorEastAsia" w:cstheme="minorEastAsia"/>
                <w:color w:val="auto"/>
                <w:sz w:val="24"/>
                <w:szCs w:val="24"/>
              </w:rPr>
            </w:pPr>
          </w:p>
        </w:tc>
      </w:tr>
      <w:tr w14:paraId="4E3C4D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7AB837B">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38</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2928D22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2F145A3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南平公安局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6DFF61A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1000M</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5F2D268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3687A7E4">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04" w:type="dxa"/>
            <w:vMerge w:val="continue"/>
            <w:tcBorders>
              <w:top w:val="nil"/>
              <w:left w:val="nil"/>
              <w:bottom w:val="single" w:color="000000" w:sz="4" w:space="0"/>
              <w:right w:val="single" w:color="000000" w:sz="4" w:space="0"/>
            </w:tcBorders>
          </w:tcPr>
          <w:p w14:paraId="30A7DFA8">
            <w:pPr>
              <w:spacing w:line="360" w:lineRule="auto"/>
              <w:rPr>
                <w:rFonts w:hint="eastAsia" w:asciiTheme="minorEastAsia" w:hAnsiTheme="minorEastAsia" w:eastAsiaTheme="minorEastAsia" w:cstheme="minorEastAsia"/>
                <w:color w:val="auto"/>
                <w:sz w:val="24"/>
                <w:szCs w:val="24"/>
              </w:rPr>
            </w:pPr>
          </w:p>
        </w:tc>
      </w:tr>
      <w:tr w14:paraId="11DBB9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D6F52A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39</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06A8BF4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0E63C9C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龙岩公安局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3688C4F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1000M</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5A2E3F7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2A00098A">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04" w:type="dxa"/>
            <w:vMerge w:val="continue"/>
            <w:tcBorders>
              <w:top w:val="nil"/>
              <w:left w:val="nil"/>
              <w:bottom w:val="single" w:color="000000" w:sz="4" w:space="0"/>
              <w:right w:val="single" w:color="000000" w:sz="4" w:space="0"/>
            </w:tcBorders>
          </w:tcPr>
          <w:p w14:paraId="1F0E3C6D">
            <w:pPr>
              <w:spacing w:line="360" w:lineRule="auto"/>
              <w:rPr>
                <w:rFonts w:hint="eastAsia" w:asciiTheme="minorEastAsia" w:hAnsiTheme="minorEastAsia" w:eastAsiaTheme="minorEastAsia" w:cstheme="minorEastAsia"/>
                <w:color w:val="auto"/>
                <w:sz w:val="24"/>
                <w:szCs w:val="24"/>
              </w:rPr>
            </w:pPr>
          </w:p>
        </w:tc>
      </w:tr>
      <w:tr w14:paraId="04A8DA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469458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2875B27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68CF380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宁德公安局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56303EC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1000M</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2BDE5EF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71408DB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04" w:type="dxa"/>
            <w:vMerge w:val="continue"/>
            <w:tcBorders>
              <w:top w:val="nil"/>
              <w:left w:val="nil"/>
              <w:bottom w:val="single" w:color="000000" w:sz="4" w:space="0"/>
              <w:right w:val="single" w:color="000000" w:sz="4" w:space="0"/>
            </w:tcBorders>
          </w:tcPr>
          <w:p w14:paraId="4D36A836">
            <w:pPr>
              <w:spacing w:line="360" w:lineRule="auto"/>
              <w:rPr>
                <w:rFonts w:hint="eastAsia" w:asciiTheme="minorEastAsia" w:hAnsiTheme="minorEastAsia" w:eastAsiaTheme="minorEastAsia" w:cstheme="minorEastAsia"/>
                <w:color w:val="auto"/>
                <w:sz w:val="24"/>
                <w:szCs w:val="24"/>
              </w:rPr>
            </w:pPr>
          </w:p>
        </w:tc>
      </w:tr>
      <w:tr w14:paraId="7BF465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009162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w:t>
            </w:r>
          </w:p>
        </w:tc>
        <w:tc>
          <w:tcPr>
            <w:tcW w:w="1445" w:type="dxa"/>
            <w:tcBorders>
              <w:top w:val="nil"/>
              <w:left w:val="nil"/>
              <w:bottom w:val="single" w:color="000000" w:sz="4" w:space="0"/>
              <w:right w:val="single" w:color="000000" w:sz="4" w:space="0"/>
            </w:tcBorders>
            <w:tcMar>
              <w:top w:w="0" w:type="dxa"/>
              <w:left w:w="90" w:type="dxa"/>
              <w:bottom w:w="0" w:type="dxa"/>
              <w:right w:w="90" w:type="dxa"/>
            </w:tcMar>
            <w:vAlign w:val="top"/>
          </w:tcPr>
          <w:p w14:paraId="4D38A9D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2073" w:type="dxa"/>
            <w:tcBorders>
              <w:top w:val="nil"/>
              <w:left w:val="nil"/>
              <w:bottom w:val="single" w:color="000000" w:sz="4" w:space="0"/>
              <w:right w:val="single" w:color="000000" w:sz="4" w:space="0"/>
            </w:tcBorders>
            <w:tcMar>
              <w:top w:w="0" w:type="dxa"/>
              <w:left w:w="90" w:type="dxa"/>
              <w:bottom w:w="0" w:type="dxa"/>
              <w:right w:w="90" w:type="dxa"/>
            </w:tcMar>
            <w:vAlign w:val="top"/>
          </w:tcPr>
          <w:p w14:paraId="08881A1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平潭公安局</w:t>
            </w:r>
          </w:p>
        </w:tc>
        <w:tc>
          <w:tcPr>
            <w:tcW w:w="1231" w:type="dxa"/>
            <w:tcBorders>
              <w:top w:val="nil"/>
              <w:left w:val="nil"/>
              <w:bottom w:val="single" w:color="000000" w:sz="4" w:space="0"/>
              <w:right w:val="single" w:color="000000" w:sz="4" w:space="0"/>
            </w:tcBorders>
            <w:tcMar>
              <w:top w:w="0" w:type="dxa"/>
              <w:left w:w="90" w:type="dxa"/>
              <w:bottom w:w="0" w:type="dxa"/>
              <w:right w:w="90" w:type="dxa"/>
            </w:tcMar>
            <w:vAlign w:val="top"/>
          </w:tcPr>
          <w:p w14:paraId="07E576B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1000M</w:t>
            </w:r>
          </w:p>
        </w:tc>
        <w:tc>
          <w:tcPr>
            <w:tcW w:w="1382" w:type="dxa"/>
            <w:tcBorders>
              <w:top w:val="nil"/>
              <w:left w:val="nil"/>
              <w:bottom w:val="single" w:color="000000" w:sz="4" w:space="0"/>
              <w:right w:val="single" w:color="000000" w:sz="4" w:space="0"/>
            </w:tcBorders>
            <w:tcMar>
              <w:top w:w="0" w:type="dxa"/>
              <w:left w:w="90" w:type="dxa"/>
              <w:bottom w:w="0" w:type="dxa"/>
              <w:right w:w="90" w:type="dxa"/>
            </w:tcMar>
            <w:vAlign w:val="top"/>
          </w:tcPr>
          <w:p w14:paraId="6511C25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多模光口</w:t>
            </w:r>
          </w:p>
        </w:tc>
        <w:tc>
          <w:tcPr>
            <w:tcW w:w="653" w:type="dxa"/>
            <w:tcBorders>
              <w:top w:val="nil"/>
              <w:left w:val="nil"/>
              <w:bottom w:val="single" w:color="000000" w:sz="4" w:space="0"/>
              <w:right w:val="single" w:color="000000" w:sz="4" w:space="0"/>
            </w:tcBorders>
            <w:tcMar>
              <w:top w:w="0" w:type="dxa"/>
              <w:left w:w="90" w:type="dxa"/>
              <w:bottom w:w="0" w:type="dxa"/>
              <w:right w:w="90" w:type="dxa"/>
            </w:tcMar>
            <w:vAlign w:val="top"/>
          </w:tcPr>
          <w:p w14:paraId="74108D1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04" w:type="dxa"/>
            <w:vMerge w:val="continue"/>
            <w:tcBorders>
              <w:top w:val="nil"/>
              <w:left w:val="nil"/>
              <w:bottom w:val="single" w:color="000000" w:sz="4" w:space="0"/>
              <w:right w:val="single" w:color="000000" w:sz="4" w:space="0"/>
            </w:tcBorders>
          </w:tcPr>
          <w:p w14:paraId="630BA7EE">
            <w:pPr>
              <w:spacing w:line="360" w:lineRule="auto"/>
              <w:rPr>
                <w:rFonts w:hint="eastAsia" w:asciiTheme="minorEastAsia" w:hAnsiTheme="minorEastAsia" w:eastAsiaTheme="minorEastAsia" w:cstheme="minorEastAsia"/>
                <w:color w:val="auto"/>
                <w:sz w:val="24"/>
                <w:szCs w:val="24"/>
              </w:rPr>
            </w:pPr>
          </w:p>
        </w:tc>
      </w:tr>
    </w:tbl>
    <w:p w14:paraId="0D4AB0AE">
      <w:pPr>
        <w:pStyle w:val="10"/>
        <w:numPr>
          <w:ilvl w:val="0"/>
          <w:numId w:val="0"/>
        </w:num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横向城域网</w:t>
      </w:r>
    </w:p>
    <w:tbl>
      <w:tblPr>
        <w:tblStyle w:val="6"/>
        <w:tblW w:w="8251" w:type="dxa"/>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78"/>
        <w:gridCol w:w="1862"/>
        <w:gridCol w:w="1950"/>
        <w:gridCol w:w="1069"/>
        <w:gridCol w:w="1094"/>
        <w:gridCol w:w="641"/>
        <w:gridCol w:w="1057"/>
      </w:tblGrid>
      <w:tr w14:paraId="4B4A9D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vAlign w:val="top"/>
          </w:tcPr>
          <w:p w14:paraId="2CE4A0A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862"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23E101B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本端</w:t>
            </w:r>
          </w:p>
        </w:tc>
        <w:tc>
          <w:tcPr>
            <w:tcW w:w="1950"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39C632E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对端</w:t>
            </w:r>
          </w:p>
        </w:tc>
        <w:tc>
          <w:tcPr>
            <w:tcW w:w="1069"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3C4AFA7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速率类型</w:t>
            </w:r>
          </w:p>
        </w:tc>
        <w:tc>
          <w:tcPr>
            <w:tcW w:w="1094"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07DA084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接口要求</w:t>
            </w:r>
          </w:p>
        </w:tc>
        <w:tc>
          <w:tcPr>
            <w:tcW w:w="641"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0082B22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1057"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20EF06F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5FDB7E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12F745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5C9C6B5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77C726A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新店西庄路</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5E2C215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03DD67A0">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308078F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44860156">
            <w:pPr>
              <w:pStyle w:val="10"/>
              <w:spacing w:line="360" w:lineRule="auto"/>
              <w:jc w:val="both"/>
              <w:rPr>
                <w:rFonts w:hint="eastAsia" w:asciiTheme="minorEastAsia" w:hAnsiTheme="minorEastAsia" w:eastAsiaTheme="minorEastAsia" w:cstheme="minorEastAsia"/>
                <w:color w:val="auto"/>
                <w:sz w:val="24"/>
                <w:szCs w:val="24"/>
              </w:rPr>
            </w:pPr>
          </w:p>
        </w:tc>
      </w:tr>
      <w:tr w14:paraId="13F249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2ABD8F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171D50D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4950B9B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电信SN</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73D3E6B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167C147A">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5A17780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714B50E2">
            <w:pPr>
              <w:pStyle w:val="10"/>
              <w:spacing w:line="360" w:lineRule="auto"/>
              <w:jc w:val="both"/>
              <w:rPr>
                <w:rFonts w:hint="eastAsia" w:asciiTheme="minorEastAsia" w:hAnsiTheme="minorEastAsia" w:eastAsiaTheme="minorEastAsia" w:cstheme="minorEastAsia"/>
                <w:color w:val="auto"/>
                <w:sz w:val="24"/>
                <w:szCs w:val="24"/>
              </w:rPr>
            </w:pPr>
          </w:p>
        </w:tc>
      </w:tr>
      <w:tr w14:paraId="49763B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C63EA5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5F824E4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203B6AB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福州移动SJ</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12B984C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75CA0D9B">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1761B34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19212FEC">
            <w:pPr>
              <w:pStyle w:val="10"/>
              <w:spacing w:line="360" w:lineRule="auto"/>
              <w:jc w:val="both"/>
              <w:rPr>
                <w:rFonts w:hint="eastAsia" w:asciiTheme="minorEastAsia" w:hAnsiTheme="minorEastAsia" w:eastAsiaTheme="minorEastAsia" w:cstheme="minorEastAsia"/>
                <w:color w:val="auto"/>
                <w:sz w:val="24"/>
                <w:szCs w:val="24"/>
              </w:rPr>
            </w:pPr>
          </w:p>
        </w:tc>
      </w:tr>
      <w:tr w14:paraId="063E3C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BD3E76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4DE9CD7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05C79E7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教育网（FD校区超算中心机房）</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61A08B4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3B55F341">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1FF64CC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33A1C1F3">
            <w:pPr>
              <w:pStyle w:val="10"/>
              <w:spacing w:line="360" w:lineRule="auto"/>
              <w:jc w:val="both"/>
              <w:rPr>
                <w:rFonts w:hint="eastAsia" w:asciiTheme="minorEastAsia" w:hAnsiTheme="minorEastAsia" w:eastAsiaTheme="minorEastAsia" w:cstheme="minorEastAsia"/>
                <w:color w:val="auto"/>
                <w:sz w:val="24"/>
                <w:szCs w:val="24"/>
              </w:rPr>
            </w:pPr>
          </w:p>
        </w:tc>
      </w:tr>
      <w:tr w14:paraId="28A7D2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69EECF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14EFA30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41632AD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福州电信SN 1条、电信CX 3条、移动MW 1条、联通KJ 1条、黎明1条、首山路警察学院实训大楼1条</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35F64C5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212BC6DD">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58AA7FC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46B7EB2E">
            <w:pPr>
              <w:pStyle w:val="10"/>
              <w:spacing w:line="360" w:lineRule="auto"/>
              <w:jc w:val="both"/>
              <w:rPr>
                <w:rFonts w:hint="eastAsia" w:asciiTheme="minorEastAsia" w:hAnsiTheme="minorEastAsia" w:eastAsiaTheme="minorEastAsia" w:cstheme="minorEastAsia"/>
                <w:color w:val="auto"/>
                <w:sz w:val="24"/>
                <w:szCs w:val="24"/>
              </w:rPr>
            </w:pPr>
          </w:p>
        </w:tc>
      </w:tr>
      <w:tr w14:paraId="7832F3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D644AB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40C53BB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0B7BC51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TG局乌山</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2E4B6A3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284AC07A">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2C6BB80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14841010">
            <w:pPr>
              <w:pStyle w:val="10"/>
              <w:spacing w:line="360" w:lineRule="auto"/>
              <w:jc w:val="both"/>
              <w:rPr>
                <w:rFonts w:hint="eastAsia" w:asciiTheme="minorEastAsia" w:hAnsiTheme="minorEastAsia" w:eastAsiaTheme="minorEastAsia" w:cstheme="minorEastAsia"/>
                <w:color w:val="auto"/>
                <w:sz w:val="24"/>
                <w:szCs w:val="24"/>
              </w:rPr>
            </w:pPr>
          </w:p>
        </w:tc>
      </w:tr>
      <w:tr w14:paraId="087D8C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862C9E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200324F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3F57B72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东街ZW网</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69FF987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60619A33">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1505274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2B517345">
            <w:pPr>
              <w:pStyle w:val="10"/>
              <w:spacing w:line="360" w:lineRule="auto"/>
              <w:jc w:val="both"/>
              <w:rPr>
                <w:rFonts w:hint="eastAsia" w:asciiTheme="minorEastAsia" w:hAnsiTheme="minorEastAsia" w:eastAsiaTheme="minorEastAsia" w:cstheme="minorEastAsia"/>
                <w:color w:val="auto"/>
                <w:sz w:val="24"/>
                <w:szCs w:val="24"/>
              </w:rPr>
            </w:pPr>
          </w:p>
        </w:tc>
      </w:tr>
      <w:tr w14:paraId="2CA2F9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434F23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14EF464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095D725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华林ZW网</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6557987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32A80CD3">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4B82013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54603455">
            <w:pPr>
              <w:pStyle w:val="10"/>
              <w:spacing w:line="360" w:lineRule="auto"/>
              <w:jc w:val="both"/>
              <w:rPr>
                <w:rFonts w:hint="eastAsia" w:asciiTheme="minorEastAsia" w:hAnsiTheme="minorEastAsia" w:eastAsiaTheme="minorEastAsia" w:cstheme="minorEastAsia"/>
                <w:color w:val="auto"/>
                <w:sz w:val="24"/>
                <w:szCs w:val="24"/>
              </w:rPr>
            </w:pPr>
          </w:p>
        </w:tc>
      </w:tr>
      <w:tr w14:paraId="44D3B8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73D73E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47D4EB7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6765F97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省ZW网</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0BDE68D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629B8878">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44B6EF5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4E344852">
            <w:pPr>
              <w:pStyle w:val="10"/>
              <w:spacing w:line="360" w:lineRule="auto"/>
              <w:jc w:val="both"/>
              <w:rPr>
                <w:rFonts w:hint="eastAsia" w:asciiTheme="minorEastAsia" w:hAnsiTheme="minorEastAsia" w:eastAsiaTheme="minorEastAsia" w:cstheme="minorEastAsia"/>
                <w:color w:val="auto"/>
                <w:sz w:val="24"/>
                <w:szCs w:val="24"/>
              </w:rPr>
            </w:pPr>
          </w:p>
        </w:tc>
      </w:tr>
      <w:tr w14:paraId="7A9863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C51D66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151699E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78E5689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联通KJ</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753BB9D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0446527B">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13CF039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0FD03B9A">
            <w:pPr>
              <w:pStyle w:val="10"/>
              <w:spacing w:line="360" w:lineRule="auto"/>
              <w:jc w:val="both"/>
              <w:rPr>
                <w:rFonts w:hint="eastAsia" w:asciiTheme="minorEastAsia" w:hAnsiTheme="minorEastAsia" w:eastAsiaTheme="minorEastAsia" w:cstheme="minorEastAsia"/>
                <w:color w:val="auto"/>
                <w:sz w:val="24"/>
                <w:szCs w:val="24"/>
              </w:rPr>
            </w:pPr>
          </w:p>
        </w:tc>
      </w:tr>
      <w:tr w14:paraId="791FED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D03D6F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6BE0F38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6645017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联通JS</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4A13C86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3C5894B5">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509E83A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288398C2">
            <w:pPr>
              <w:pStyle w:val="10"/>
              <w:spacing w:line="360" w:lineRule="auto"/>
              <w:jc w:val="both"/>
              <w:rPr>
                <w:rFonts w:hint="eastAsia" w:asciiTheme="minorEastAsia" w:hAnsiTheme="minorEastAsia" w:eastAsiaTheme="minorEastAsia" w:cstheme="minorEastAsia"/>
                <w:color w:val="auto"/>
                <w:sz w:val="24"/>
                <w:szCs w:val="24"/>
              </w:rPr>
            </w:pPr>
          </w:p>
        </w:tc>
      </w:tr>
      <w:tr w14:paraId="016657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F44CF7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4CF95C1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671AE54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小柳</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634D78E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7B36CF23">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18506C3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26B19948">
            <w:pPr>
              <w:pStyle w:val="10"/>
              <w:spacing w:line="360" w:lineRule="auto"/>
              <w:jc w:val="both"/>
              <w:rPr>
                <w:rFonts w:hint="eastAsia" w:asciiTheme="minorEastAsia" w:hAnsiTheme="minorEastAsia" w:eastAsiaTheme="minorEastAsia" w:cstheme="minorEastAsia"/>
                <w:color w:val="auto"/>
                <w:sz w:val="24"/>
                <w:szCs w:val="24"/>
              </w:rPr>
            </w:pPr>
          </w:p>
        </w:tc>
      </w:tr>
      <w:tr w14:paraId="32FC19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BFBF76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1E46A34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7D3CC54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新店GK</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32F3964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00D0A811">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601A5FC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68AA99B3">
            <w:pPr>
              <w:pStyle w:val="10"/>
              <w:spacing w:line="360" w:lineRule="auto"/>
              <w:jc w:val="both"/>
              <w:rPr>
                <w:rFonts w:hint="eastAsia" w:asciiTheme="minorEastAsia" w:hAnsiTheme="minorEastAsia" w:eastAsiaTheme="minorEastAsia" w:cstheme="minorEastAsia"/>
                <w:color w:val="auto"/>
                <w:sz w:val="24"/>
                <w:szCs w:val="24"/>
              </w:rPr>
            </w:pPr>
          </w:p>
        </w:tc>
      </w:tr>
      <w:tr w14:paraId="29FFBC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416AD3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425C9CE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3E9EF1A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软件园创新中心</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6A42FA5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7F34DD7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不同路由</w:t>
            </w: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6A3DBCC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1870493A">
            <w:pPr>
              <w:pStyle w:val="10"/>
              <w:spacing w:line="360" w:lineRule="auto"/>
              <w:jc w:val="both"/>
              <w:rPr>
                <w:rFonts w:hint="eastAsia" w:asciiTheme="minorEastAsia" w:hAnsiTheme="minorEastAsia" w:eastAsiaTheme="minorEastAsia" w:cstheme="minorEastAsia"/>
                <w:color w:val="auto"/>
                <w:sz w:val="24"/>
                <w:szCs w:val="24"/>
              </w:rPr>
            </w:pPr>
          </w:p>
        </w:tc>
      </w:tr>
      <w:tr w14:paraId="27060E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751009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53B2034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34380D4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联通橘园洲</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2663F02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5FF9AEFB">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021D6EF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3E165A12">
            <w:pPr>
              <w:pStyle w:val="10"/>
              <w:spacing w:line="360" w:lineRule="auto"/>
              <w:jc w:val="both"/>
              <w:rPr>
                <w:rFonts w:hint="eastAsia" w:asciiTheme="minorEastAsia" w:hAnsiTheme="minorEastAsia" w:eastAsiaTheme="minorEastAsia" w:cstheme="minorEastAsia"/>
                <w:color w:val="auto"/>
                <w:sz w:val="24"/>
                <w:szCs w:val="24"/>
              </w:rPr>
            </w:pPr>
          </w:p>
        </w:tc>
      </w:tr>
      <w:tr w14:paraId="0CF0A1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93CF11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28E412B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199F4E3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联通JS 5层</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2A691B7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48AF75FD">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043F29B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5EB270CA">
            <w:pPr>
              <w:pStyle w:val="10"/>
              <w:spacing w:line="360" w:lineRule="auto"/>
              <w:jc w:val="both"/>
              <w:rPr>
                <w:rFonts w:hint="eastAsia" w:asciiTheme="minorEastAsia" w:hAnsiTheme="minorEastAsia" w:eastAsiaTheme="minorEastAsia" w:cstheme="minorEastAsia"/>
                <w:color w:val="auto"/>
                <w:sz w:val="24"/>
                <w:szCs w:val="24"/>
              </w:rPr>
            </w:pPr>
          </w:p>
        </w:tc>
      </w:tr>
      <w:tr w14:paraId="1C45A5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818A4A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630EB55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4BDE769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联通KJ 5层顶</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7D8F4EE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09444A3D">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22957F8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158D96EC">
            <w:pPr>
              <w:pStyle w:val="10"/>
              <w:spacing w:line="360" w:lineRule="auto"/>
              <w:jc w:val="both"/>
              <w:rPr>
                <w:rFonts w:hint="eastAsia" w:asciiTheme="minorEastAsia" w:hAnsiTheme="minorEastAsia" w:eastAsiaTheme="minorEastAsia" w:cstheme="minorEastAsia"/>
                <w:color w:val="auto"/>
                <w:sz w:val="24"/>
                <w:szCs w:val="24"/>
              </w:rPr>
            </w:pPr>
          </w:p>
        </w:tc>
      </w:tr>
      <w:tr w14:paraId="0B0DD5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F42AC3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5EE0A61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1DCF46F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联通KJ</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07E4DA3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6CACA6D7">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0AD48B8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666D4DAF">
            <w:pPr>
              <w:pStyle w:val="10"/>
              <w:spacing w:line="360" w:lineRule="auto"/>
              <w:jc w:val="both"/>
              <w:rPr>
                <w:rFonts w:hint="eastAsia" w:asciiTheme="minorEastAsia" w:hAnsiTheme="minorEastAsia" w:eastAsiaTheme="minorEastAsia" w:cstheme="minorEastAsia"/>
                <w:color w:val="auto"/>
                <w:sz w:val="24"/>
                <w:szCs w:val="24"/>
              </w:rPr>
            </w:pPr>
          </w:p>
        </w:tc>
      </w:tr>
      <w:tr w14:paraId="7C34E6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0543F4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49DB65E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2614C64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联通JS</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6A1DDC5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4E3FF568">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3B4F32B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41A3B717">
            <w:pPr>
              <w:pStyle w:val="10"/>
              <w:spacing w:line="360" w:lineRule="auto"/>
              <w:jc w:val="both"/>
              <w:rPr>
                <w:rFonts w:hint="eastAsia" w:asciiTheme="minorEastAsia" w:hAnsiTheme="minorEastAsia" w:eastAsiaTheme="minorEastAsia" w:cstheme="minorEastAsia"/>
                <w:color w:val="auto"/>
                <w:sz w:val="24"/>
                <w:szCs w:val="24"/>
              </w:rPr>
            </w:pPr>
          </w:p>
        </w:tc>
      </w:tr>
      <w:tr w14:paraId="68DB9E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93A202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0B7CE5A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5E2BCD0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福建电信东南信息园机房</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5AA7FFB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176CF862">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1C6121E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7C640603">
            <w:pPr>
              <w:pStyle w:val="10"/>
              <w:spacing w:line="360" w:lineRule="auto"/>
              <w:jc w:val="both"/>
              <w:rPr>
                <w:rFonts w:hint="eastAsia" w:asciiTheme="minorEastAsia" w:hAnsiTheme="minorEastAsia" w:eastAsiaTheme="minorEastAsia" w:cstheme="minorEastAsia"/>
                <w:color w:val="auto"/>
                <w:sz w:val="24"/>
                <w:szCs w:val="24"/>
              </w:rPr>
            </w:pPr>
          </w:p>
        </w:tc>
      </w:tr>
      <w:tr w14:paraId="0ED71E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08CCCE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1D9E1EC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联通金山机房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0135D80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联通橘园洲</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75849AB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159CBE4C">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4B12D1A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5A1928BD">
            <w:pPr>
              <w:pStyle w:val="10"/>
              <w:spacing w:line="360" w:lineRule="auto"/>
              <w:jc w:val="both"/>
              <w:rPr>
                <w:rFonts w:hint="eastAsia" w:asciiTheme="minorEastAsia" w:hAnsiTheme="minorEastAsia" w:eastAsiaTheme="minorEastAsia" w:cstheme="minorEastAsia"/>
                <w:color w:val="auto"/>
                <w:sz w:val="24"/>
                <w:szCs w:val="24"/>
              </w:rPr>
            </w:pPr>
          </w:p>
        </w:tc>
      </w:tr>
      <w:tr w14:paraId="1DEBF2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3C9CC5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71CA49B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4E19D2F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电信CX</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63F41C9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383196B8">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69191FB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608B388A">
            <w:pPr>
              <w:pStyle w:val="10"/>
              <w:spacing w:line="360" w:lineRule="auto"/>
              <w:jc w:val="both"/>
              <w:rPr>
                <w:rFonts w:hint="eastAsia" w:asciiTheme="minorEastAsia" w:hAnsiTheme="minorEastAsia" w:eastAsiaTheme="minorEastAsia" w:cstheme="minorEastAsia"/>
                <w:color w:val="auto"/>
                <w:sz w:val="24"/>
                <w:szCs w:val="24"/>
              </w:rPr>
            </w:pPr>
          </w:p>
        </w:tc>
      </w:tr>
      <w:tr w14:paraId="4F61D3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B77D87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5B4AEF9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6B5CAF8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福州电信GMG</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6CAB763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68BB4EEB">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714C4DA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2A362F19">
            <w:pPr>
              <w:pStyle w:val="10"/>
              <w:spacing w:line="360" w:lineRule="auto"/>
              <w:jc w:val="both"/>
              <w:rPr>
                <w:rFonts w:hint="eastAsia" w:asciiTheme="minorEastAsia" w:hAnsiTheme="minorEastAsia" w:eastAsiaTheme="minorEastAsia" w:cstheme="minorEastAsia"/>
                <w:color w:val="auto"/>
                <w:sz w:val="24"/>
                <w:szCs w:val="24"/>
              </w:rPr>
            </w:pPr>
          </w:p>
        </w:tc>
      </w:tr>
      <w:tr w14:paraId="02C3F1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386FA4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5EA77DC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2888F40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广电海西机房</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7B12B8D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0447DC77">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10D9BAE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069E80A6">
            <w:pPr>
              <w:pStyle w:val="10"/>
              <w:spacing w:line="360" w:lineRule="auto"/>
              <w:jc w:val="both"/>
              <w:rPr>
                <w:rFonts w:hint="eastAsia" w:asciiTheme="minorEastAsia" w:hAnsiTheme="minorEastAsia" w:eastAsiaTheme="minorEastAsia" w:cstheme="minorEastAsia"/>
                <w:color w:val="auto"/>
                <w:sz w:val="24"/>
                <w:szCs w:val="24"/>
              </w:rPr>
            </w:pPr>
          </w:p>
        </w:tc>
      </w:tr>
      <w:tr w14:paraId="51737A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2F185D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1CB5171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电信仓山科技园2层</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74D220D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福州电信CX</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3DE178D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4DB1F705">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478B966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52CA1745">
            <w:pPr>
              <w:pStyle w:val="10"/>
              <w:spacing w:line="360" w:lineRule="auto"/>
              <w:jc w:val="both"/>
              <w:rPr>
                <w:rFonts w:hint="eastAsia" w:asciiTheme="minorEastAsia" w:hAnsiTheme="minorEastAsia" w:eastAsiaTheme="minorEastAsia" w:cstheme="minorEastAsia"/>
                <w:color w:val="auto"/>
                <w:sz w:val="24"/>
                <w:szCs w:val="24"/>
              </w:rPr>
            </w:pPr>
          </w:p>
        </w:tc>
      </w:tr>
      <w:tr w14:paraId="7657F1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4AA9C5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0A729AF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771FD53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电信SN</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03917E8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52CA67DF">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6828C17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73637723">
            <w:pPr>
              <w:pStyle w:val="10"/>
              <w:spacing w:line="360" w:lineRule="auto"/>
              <w:jc w:val="both"/>
              <w:rPr>
                <w:rFonts w:hint="eastAsia" w:asciiTheme="minorEastAsia" w:hAnsiTheme="minorEastAsia" w:eastAsiaTheme="minorEastAsia" w:cstheme="minorEastAsia"/>
                <w:color w:val="auto"/>
                <w:sz w:val="24"/>
                <w:szCs w:val="24"/>
              </w:rPr>
            </w:pPr>
          </w:p>
        </w:tc>
      </w:tr>
      <w:tr w14:paraId="48311B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4FAD71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7A7AB4D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5E06571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仓山KJY</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1A1FB36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0D4CB0E7">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1914E88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75455FD4">
            <w:pPr>
              <w:pStyle w:val="10"/>
              <w:spacing w:line="360" w:lineRule="auto"/>
              <w:jc w:val="both"/>
              <w:rPr>
                <w:rFonts w:hint="eastAsia" w:asciiTheme="minorEastAsia" w:hAnsiTheme="minorEastAsia" w:eastAsiaTheme="minorEastAsia" w:cstheme="minorEastAsia"/>
                <w:color w:val="auto"/>
                <w:sz w:val="24"/>
                <w:szCs w:val="24"/>
              </w:rPr>
            </w:pPr>
          </w:p>
        </w:tc>
      </w:tr>
      <w:tr w14:paraId="5EA915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9E4D2C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28</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39EC793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省公安厅科技大楼</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488E2A0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黎明街13号</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717CCF4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716A1986">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492DC25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61F3AB50">
            <w:pPr>
              <w:pStyle w:val="10"/>
              <w:spacing w:line="360" w:lineRule="auto"/>
              <w:jc w:val="both"/>
              <w:rPr>
                <w:rFonts w:hint="eastAsia" w:asciiTheme="minorEastAsia" w:hAnsiTheme="minorEastAsia" w:eastAsiaTheme="minorEastAsia" w:cstheme="minorEastAsia"/>
                <w:color w:val="auto"/>
                <w:sz w:val="24"/>
                <w:szCs w:val="24"/>
              </w:rPr>
            </w:pPr>
          </w:p>
        </w:tc>
      </w:tr>
      <w:tr w14:paraId="47C0E2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648882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29</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27F4CD2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省公安厅运营商机房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3968BB5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建新镇花溪北路98号裕晟广场2号楼</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6CAC096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03189775">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691FDF8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48D2263A">
            <w:pPr>
              <w:pStyle w:val="10"/>
              <w:spacing w:line="360" w:lineRule="auto"/>
              <w:jc w:val="both"/>
              <w:rPr>
                <w:rFonts w:hint="eastAsia" w:asciiTheme="minorEastAsia" w:hAnsiTheme="minorEastAsia" w:eastAsiaTheme="minorEastAsia" w:cstheme="minorEastAsia"/>
                <w:color w:val="auto"/>
                <w:sz w:val="24"/>
                <w:szCs w:val="24"/>
              </w:rPr>
            </w:pPr>
          </w:p>
        </w:tc>
      </w:tr>
      <w:tr w14:paraId="09F803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A64C66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135F878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52D95E8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西二环北路56号省公安厅宿舍7座</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15E5084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27FF1AA7">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6367D60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2A35DB1B">
            <w:pPr>
              <w:pStyle w:val="10"/>
              <w:spacing w:line="360" w:lineRule="auto"/>
              <w:jc w:val="both"/>
              <w:rPr>
                <w:rFonts w:hint="eastAsia" w:asciiTheme="minorEastAsia" w:hAnsiTheme="minorEastAsia" w:eastAsiaTheme="minorEastAsia" w:cstheme="minorEastAsia"/>
                <w:color w:val="auto"/>
                <w:sz w:val="24"/>
                <w:szCs w:val="24"/>
              </w:rPr>
            </w:pPr>
          </w:p>
        </w:tc>
      </w:tr>
      <w:tr w14:paraId="747FE8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F5C2A3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5CB6B1A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福州市达明路双抛桥一里/3座</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09FE03F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福州市黎明街13号</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433D010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338D62A6">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013D4A4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5107AD76">
            <w:pPr>
              <w:pStyle w:val="10"/>
              <w:spacing w:line="360" w:lineRule="auto"/>
              <w:jc w:val="both"/>
              <w:rPr>
                <w:rFonts w:hint="eastAsia" w:asciiTheme="minorEastAsia" w:hAnsiTheme="minorEastAsia" w:eastAsiaTheme="minorEastAsia" w:cstheme="minorEastAsia"/>
                <w:color w:val="auto"/>
                <w:sz w:val="24"/>
                <w:szCs w:val="24"/>
              </w:rPr>
            </w:pPr>
          </w:p>
        </w:tc>
      </w:tr>
      <w:tr w14:paraId="620CF8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B37744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32A4840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6761BA2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福州杨桥东路32号建兴广厦3座</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5CC1A22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691E9C4D">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4A15445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25514E82">
            <w:pPr>
              <w:pStyle w:val="10"/>
              <w:spacing w:line="360" w:lineRule="auto"/>
              <w:jc w:val="both"/>
              <w:rPr>
                <w:rFonts w:hint="eastAsia" w:asciiTheme="minorEastAsia" w:hAnsiTheme="minorEastAsia" w:eastAsiaTheme="minorEastAsia" w:cstheme="minorEastAsia"/>
                <w:color w:val="auto"/>
                <w:sz w:val="24"/>
                <w:szCs w:val="24"/>
              </w:rPr>
            </w:pPr>
          </w:p>
        </w:tc>
      </w:tr>
      <w:tr w14:paraId="7BF4B4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B07944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4615D9A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5E0918B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装备科（电建路）</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41955CA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1E940CCB">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6ABD63B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22C6CBF8">
            <w:pPr>
              <w:pStyle w:val="10"/>
              <w:spacing w:line="360" w:lineRule="auto"/>
              <w:jc w:val="both"/>
              <w:rPr>
                <w:rFonts w:hint="eastAsia" w:asciiTheme="minorEastAsia" w:hAnsiTheme="minorEastAsia" w:eastAsiaTheme="minorEastAsia" w:cstheme="minorEastAsia"/>
                <w:color w:val="auto"/>
                <w:sz w:val="24"/>
                <w:szCs w:val="24"/>
              </w:rPr>
            </w:pPr>
          </w:p>
        </w:tc>
      </w:tr>
      <w:tr w14:paraId="33FF08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49ED90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34</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1843CB6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4863FAD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离退处</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718D8F6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204F1BE7">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2A2C5B9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473971FC">
            <w:pPr>
              <w:pStyle w:val="10"/>
              <w:spacing w:line="360" w:lineRule="auto"/>
              <w:jc w:val="both"/>
              <w:rPr>
                <w:rFonts w:hint="eastAsia" w:asciiTheme="minorEastAsia" w:hAnsiTheme="minorEastAsia" w:eastAsiaTheme="minorEastAsia" w:cstheme="minorEastAsia"/>
                <w:color w:val="auto"/>
                <w:sz w:val="24"/>
                <w:szCs w:val="24"/>
              </w:rPr>
            </w:pPr>
          </w:p>
        </w:tc>
      </w:tr>
      <w:tr w14:paraId="0C3AEC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37B015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35</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517344D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5EED57F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监管总队</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4E4D1B9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22D4D292">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5EC2C95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2B1E1614">
            <w:pPr>
              <w:pStyle w:val="10"/>
              <w:spacing w:line="360" w:lineRule="auto"/>
              <w:jc w:val="both"/>
              <w:rPr>
                <w:rFonts w:hint="eastAsia" w:asciiTheme="minorEastAsia" w:hAnsiTheme="minorEastAsia" w:eastAsiaTheme="minorEastAsia" w:cstheme="minorEastAsia"/>
                <w:color w:val="auto"/>
                <w:sz w:val="24"/>
                <w:szCs w:val="24"/>
              </w:rPr>
            </w:pPr>
          </w:p>
        </w:tc>
      </w:tr>
      <w:tr w14:paraId="51A694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8EE860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35B9C04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66755E1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监管总队</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6BD4928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1605DC42">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3B3F7D1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732B7B22">
            <w:pPr>
              <w:pStyle w:val="10"/>
              <w:spacing w:line="360" w:lineRule="auto"/>
              <w:jc w:val="both"/>
              <w:rPr>
                <w:rFonts w:hint="eastAsia" w:asciiTheme="minorEastAsia" w:hAnsiTheme="minorEastAsia" w:eastAsiaTheme="minorEastAsia" w:cstheme="minorEastAsia"/>
                <w:color w:val="auto"/>
                <w:sz w:val="24"/>
                <w:szCs w:val="24"/>
              </w:rPr>
            </w:pPr>
          </w:p>
        </w:tc>
      </w:tr>
      <w:tr w14:paraId="5CD48C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D3C7F6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502AAF2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3167FD2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监管总队</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4697055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4E1087A2">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0910217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7A6BDB7D">
            <w:pPr>
              <w:pStyle w:val="10"/>
              <w:spacing w:line="360" w:lineRule="auto"/>
              <w:jc w:val="both"/>
              <w:rPr>
                <w:rFonts w:hint="eastAsia" w:asciiTheme="minorEastAsia" w:hAnsiTheme="minorEastAsia" w:eastAsiaTheme="minorEastAsia" w:cstheme="minorEastAsia"/>
                <w:color w:val="auto"/>
                <w:sz w:val="24"/>
                <w:szCs w:val="24"/>
              </w:rPr>
            </w:pPr>
          </w:p>
        </w:tc>
      </w:tr>
      <w:tr w14:paraId="3B688E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E937C0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38</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3B404A9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4D923F8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铜盘</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3638883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480883FA">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264FC31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1A4EB6B8">
            <w:pPr>
              <w:pStyle w:val="10"/>
              <w:spacing w:line="360" w:lineRule="auto"/>
              <w:jc w:val="both"/>
              <w:rPr>
                <w:rFonts w:hint="eastAsia" w:asciiTheme="minorEastAsia" w:hAnsiTheme="minorEastAsia" w:eastAsiaTheme="minorEastAsia" w:cstheme="minorEastAsia"/>
                <w:color w:val="auto"/>
                <w:sz w:val="24"/>
                <w:szCs w:val="24"/>
              </w:rPr>
            </w:pPr>
          </w:p>
        </w:tc>
      </w:tr>
      <w:tr w14:paraId="4AF7E0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80C94C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39</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5A291C8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7E3CB1D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厅金山仓库（建新）</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1ACFB35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28975293">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330F300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35C4FE73">
            <w:pPr>
              <w:pStyle w:val="10"/>
              <w:spacing w:line="360" w:lineRule="auto"/>
              <w:jc w:val="both"/>
              <w:rPr>
                <w:rFonts w:hint="eastAsia" w:asciiTheme="minorEastAsia" w:hAnsiTheme="minorEastAsia" w:eastAsiaTheme="minorEastAsia" w:cstheme="minorEastAsia"/>
                <w:color w:val="auto"/>
                <w:sz w:val="24"/>
                <w:szCs w:val="24"/>
              </w:rPr>
            </w:pPr>
          </w:p>
        </w:tc>
      </w:tr>
      <w:tr w14:paraId="111B68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A73108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13FFC4B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5C95118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金福公司（鼓屏）</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440BF66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0410EA17">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4E5BE87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7FBAEC64">
            <w:pPr>
              <w:pStyle w:val="10"/>
              <w:spacing w:line="360" w:lineRule="auto"/>
              <w:jc w:val="both"/>
              <w:rPr>
                <w:rFonts w:hint="eastAsia" w:asciiTheme="minorEastAsia" w:hAnsiTheme="minorEastAsia" w:eastAsiaTheme="minorEastAsia" w:cstheme="minorEastAsia"/>
                <w:color w:val="auto"/>
                <w:sz w:val="24"/>
                <w:szCs w:val="24"/>
              </w:rPr>
            </w:pPr>
          </w:p>
        </w:tc>
      </w:tr>
      <w:tr w14:paraId="42125E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AA4C35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7D03219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7B225E0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省公安厅交警总队</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7F257F9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57D75552">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586FEA5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555CE877">
            <w:pPr>
              <w:pStyle w:val="10"/>
              <w:spacing w:line="360" w:lineRule="auto"/>
              <w:jc w:val="both"/>
              <w:rPr>
                <w:rFonts w:hint="eastAsia" w:asciiTheme="minorEastAsia" w:hAnsiTheme="minorEastAsia" w:eastAsiaTheme="minorEastAsia" w:cstheme="minorEastAsia"/>
                <w:color w:val="auto"/>
                <w:sz w:val="24"/>
                <w:szCs w:val="24"/>
              </w:rPr>
            </w:pPr>
          </w:p>
        </w:tc>
      </w:tr>
      <w:tr w14:paraId="6F0857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195512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038CFD8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1BA257E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西宾</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065CF2B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1C0FD473">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1A1AE57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57E42FAA">
            <w:pPr>
              <w:pStyle w:val="10"/>
              <w:spacing w:line="360" w:lineRule="auto"/>
              <w:jc w:val="both"/>
              <w:rPr>
                <w:rFonts w:hint="eastAsia" w:asciiTheme="minorEastAsia" w:hAnsiTheme="minorEastAsia" w:eastAsiaTheme="minorEastAsia" w:cstheme="minorEastAsia"/>
                <w:color w:val="auto"/>
                <w:sz w:val="24"/>
                <w:szCs w:val="24"/>
              </w:rPr>
            </w:pPr>
          </w:p>
        </w:tc>
      </w:tr>
      <w:tr w14:paraId="7A810D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035921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43</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577956C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福州市公安局</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59D777E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西宾</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0511425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6495C11A">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0922282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228722A1">
            <w:pPr>
              <w:pStyle w:val="10"/>
              <w:spacing w:line="360" w:lineRule="auto"/>
              <w:jc w:val="both"/>
              <w:rPr>
                <w:rFonts w:hint="eastAsia" w:asciiTheme="minorEastAsia" w:hAnsiTheme="minorEastAsia" w:eastAsiaTheme="minorEastAsia" w:cstheme="minorEastAsia"/>
                <w:color w:val="auto"/>
                <w:sz w:val="24"/>
                <w:szCs w:val="24"/>
              </w:rPr>
            </w:pPr>
          </w:p>
        </w:tc>
      </w:tr>
      <w:tr w14:paraId="0EED33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56E891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44</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19B1331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机场派出所（候机楼内）</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638E760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机场公安局</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14EDB48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6D85FAE8">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1732780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58CF0880">
            <w:pPr>
              <w:pStyle w:val="10"/>
              <w:spacing w:line="360" w:lineRule="auto"/>
              <w:jc w:val="both"/>
              <w:rPr>
                <w:rFonts w:hint="eastAsia" w:asciiTheme="minorEastAsia" w:hAnsiTheme="minorEastAsia" w:eastAsiaTheme="minorEastAsia" w:cstheme="minorEastAsia"/>
                <w:color w:val="auto"/>
                <w:sz w:val="24"/>
                <w:szCs w:val="24"/>
              </w:rPr>
            </w:pPr>
          </w:p>
        </w:tc>
      </w:tr>
      <w:tr w14:paraId="00DC5F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7FC701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45</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3716956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08D387B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机场公安局</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7B958A7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2M SDH</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32A6DC3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E1</w:t>
            </w: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760B041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63F0DA73">
            <w:pPr>
              <w:pStyle w:val="10"/>
              <w:spacing w:line="360" w:lineRule="auto"/>
              <w:jc w:val="both"/>
              <w:rPr>
                <w:rFonts w:hint="eastAsia" w:asciiTheme="minorEastAsia" w:hAnsiTheme="minorEastAsia" w:eastAsiaTheme="minorEastAsia" w:cstheme="minorEastAsia"/>
                <w:color w:val="auto"/>
                <w:sz w:val="24"/>
                <w:szCs w:val="24"/>
              </w:rPr>
            </w:pPr>
          </w:p>
        </w:tc>
      </w:tr>
      <w:tr w14:paraId="6797EF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611AFC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46</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69D9D6B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61937E5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机场公安局</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0C4777D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300M</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200A0A0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RJ45</w:t>
            </w: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41BF8C3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653D70EA">
            <w:pPr>
              <w:pStyle w:val="10"/>
              <w:spacing w:line="360" w:lineRule="auto"/>
              <w:jc w:val="both"/>
              <w:rPr>
                <w:rFonts w:hint="eastAsia" w:asciiTheme="minorEastAsia" w:hAnsiTheme="minorEastAsia" w:eastAsiaTheme="minorEastAsia" w:cstheme="minorEastAsia"/>
                <w:color w:val="auto"/>
                <w:sz w:val="24"/>
                <w:szCs w:val="24"/>
              </w:rPr>
            </w:pPr>
          </w:p>
        </w:tc>
      </w:tr>
      <w:tr w14:paraId="2D4BBE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F8E84C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47</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55F42E2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28708EB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机场公安局</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15B9B96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300M</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2D22C1C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RJ45</w:t>
            </w: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08D90BE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178769B7">
            <w:pPr>
              <w:pStyle w:val="10"/>
              <w:spacing w:line="360" w:lineRule="auto"/>
              <w:jc w:val="both"/>
              <w:rPr>
                <w:rFonts w:hint="eastAsia" w:asciiTheme="minorEastAsia" w:hAnsiTheme="minorEastAsia" w:eastAsiaTheme="minorEastAsia" w:cstheme="minorEastAsia"/>
                <w:color w:val="auto"/>
                <w:sz w:val="24"/>
                <w:szCs w:val="24"/>
              </w:rPr>
            </w:pPr>
          </w:p>
        </w:tc>
      </w:tr>
      <w:tr w14:paraId="2A9C27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C260D4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48</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6EF7A7A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420A18C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交通厅</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0E5F638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6620D432">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07903C5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7D74A674">
            <w:pPr>
              <w:pStyle w:val="10"/>
              <w:spacing w:line="360" w:lineRule="auto"/>
              <w:jc w:val="both"/>
              <w:rPr>
                <w:rFonts w:hint="eastAsia" w:asciiTheme="minorEastAsia" w:hAnsiTheme="minorEastAsia" w:eastAsiaTheme="minorEastAsia" w:cstheme="minorEastAsia"/>
                <w:color w:val="auto"/>
                <w:sz w:val="24"/>
                <w:szCs w:val="24"/>
              </w:rPr>
            </w:pPr>
          </w:p>
        </w:tc>
      </w:tr>
      <w:tr w14:paraId="558F2A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5176CB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49</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26BA608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2513EFA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省高速公司</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2E11A9F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27083F73">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769D92A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3D27AA5E">
            <w:pPr>
              <w:pStyle w:val="10"/>
              <w:spacing w:line="360" w:lineRule="auto"/>
              <w:jc w:val="both"/>
              <w:rPr>
                <w:rFonts w:hint="eastAsia" w:asciiTheme="minorEastAsia" w:hAnsiTheme="minorEastAsia" w:eastAsiaTheme="minorEastAsia" w:cstheme="minorEastAsia"/>
                <w:color w:val="auto"/>
                <w:sz w:val="24"/>
                <w:szCs w:val="24"/>
              </w:rPr>
            </w:pPr>
          </w:p>
        </w:tc>
      </w:tr>
      <w:tr w14:paraId="05932E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968AA7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231F18B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031B284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上街</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1065960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291A4744">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69608AC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05E2C395">
            <w:pPr>
              <w:pStyle w:val="10"/>
              <w:spacing w:line="360" w:lineRule="auto"/>
              <w:jc w:val="both"/>
              <w:rPr>
                <w:rFonts w:hint="eastAsia" w:asciiTheme="minorEastAsia" w:hAnsiTheme="minorEastAsia" w:eastAsiaTheme="minorEastAsia" w:cstheme="minorEastAsia"/>
                <w:color w:val="auto"/>
                <w:sz w:val="24"/>
                <w:szCs w:val="24"/>
              </w:rPr>
            </w:pPr>
          </w:p>
        </w:tc>
      </w:tr>
      <w:tr w14:paraId="6020E9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A51267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5A02B03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7D8A581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CRJ机房</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1A8D3E2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2265FF4A">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7DD2D55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5289A361">
            <w:pPr>
              <w:pStyle w:val="10"/>
              <w:spacing w:line="360" w:lineRule="auto"/>
              <w:jc w:val="both"/>
              <w:rPr>
                <w:rFonts w:hint="eastAsia" w:asciiTheme="minorEastAsia" w:hAnsiTheme="minorEastAsia" w:eastAsiaTheme="minorEastAsia" w:cstheme="minorEastAsia"/>
                <w:color w:val="auto"/>
                <w:sz w:val="24"/>
                <w:szCs w:val="24"/>
              </w:rPr>
            </w:pPr>
          </w:p>
        </w:tc>
      </w:tr>
      <w:tr w14:paraId="46F2C8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6945F0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588F6AB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省公安厅21层机房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410FAAE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电信LBS-MPLS-VPN</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41133DB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2M SDH</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370214C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E1</w:t>
            </w: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60D608B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01CEFD1C">
            <w:pPr>
              <w:pStyle w:val="10"/>
              <w:spacing w:line="360" w:lineRule="auto"/>
              <w:jc w:val="both"/>
              <w:rPr>
                <w:rFonts w:hint="eastAsia" w:asciiTheme="minorEastAsia" w:hAnsiTheme="minorEastAsia" w:eastAsiaTheme="minorEastAsia" w:cstheme="minorEastAsia"/>
                <w:color w:val="auto"/>
                <w:sz w:val="24"/>
                <w:szCs w:val="24"/>
              </w:rPr>
            </w:pPr>
          </w:p>
        </w:tc>
      </w:tr>
      <w:tr w14:paraId="411E44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45DFB4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53</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20733FC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227F11F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银监局</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441C2B5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24CCF12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电口</w:t>
            </w: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2A58AA4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1CFADA44">
            <w:pPr>
              <w:pStyle w:val="10"/>
              <w:spacing w:line="360" w:lineRule="auto"/>
              <w:jc w:val="both"/>
              <w:rPr>
                <w:rFonts w:hint="eastAsia" w:asciiTheme="minorEastAsia" w:hAnsiTheme="minorEastAsia" w:eastAsiaTheme="minorEastAsia" w:cstheme="minorEastAsia"/>
                <w:color w:val="auto"/>
                <w:sz w:val="24"/>
                <w:szCs w:val="24"/>
              </w:rPr>
            </w:pPr>
          </w:p>
        </w:tc>
      </w:tr>
      <w:tr w14:paraId="0ADD1F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597837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54</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57D191C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7C629F4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省zf二层会议室</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3E02123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1F033705">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0FEB79B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07E9630E">
            <w:pPr>
              <w:pStyle w:val="10"/>
              <w:spacing w:line="360" w:lineRule="auto"/>
              <w:jc w:val="both"/>
              <w:rPr>
                <w:rFonts w:hint="eastAsia" w:asciiTheme="minorEastAsia" w:hAnsiTheme="minorEastAsia" w:eastAsiaTheme="minorEastAsia" w:cstheme="minorEastAsia"/>
                <w:color w:val="auto"/>
                <w:sz w:val="24"/>
                <w:szCs w:val="24"/>
              </w:rPr>
            </w:pPr>
          </w:p>
        </w:tc>
      </w:tr>
      <w:tr w14:paraId="66DF15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1486CA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55</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48C07BE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6C7DCED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省zf三层会议室</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2851BAA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3B9B86E9">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27554C3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4786A5BC">
            <w:pPr>
              <w:pStyle w:val="10"/>
              <w:spacing w:line="360" w:lineRule="auto"/>
              <w:jc w:val="both"/>
              <w:rPr>
                <w:rFonts w:hint="eastAsia" w:asciiTheme="minorEastAsia" w:hAnsiTheme="minorEastAsia" w:eastAsiaTheme="minorEastAsia" w:cstheme="minorEastAsia"/>
                <w:color w:val="auto"/>
                <w:sz w:val="24"/>
                <w:szCs w:val="24"/>
              </w:rPr>
            </w:pPr>
          </w:p>
        </w:tc>
      </w:tr>
      <w:tr w14:paraId="4F360E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E3E819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56</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3D6CF5D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0343BFB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省政法委</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0EDA97C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3AD4C8FE">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1039D93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5C3176A9">
            <w:pPr>
              <w:pStyle w:val="10"/>
              <w:spacing w:line="360" w:lineRule="auto"/>
              <w:jc w:val="both"/>
              <w:rPr>
                <w:rFonts w:hint="eastAsia" w:asciiTheme="minorEastAsia" w:hAnsiTheme="minorEastAsia" w:eastAsiaTheme="minorEastAsia" w:cstheme="minorEastAsia"/>
                <w:color w:val="auto"/>
                <w:sz w:val="24"/>
                <w:szCs w:val="24"/>
              </w:rPr>
            </w:pPr>
          </w:p>
        </w:tc>
      </w:tr>
      <w:tr w14:paraId="72A2C8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73EFB9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57</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4316478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7FCF619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小柳景苑</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435B65F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6A4179DD">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1463AE8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3BB8CB74">
            <w:pPr>
              <w:pStyle w:val="10"/>
              <w:spacing w:line="360" w:lineRule="auto"/>
              <w:jc w:val="both"/>
              <w:rPr>
                <w:rFonts w:hint="eastAsia" w:asciiTheme="minorEastAsia" w:hAnsiTheme="minorEastAsia" w:eastAsiaTheme="minorEastAsia" w:cstheme="minorEastAsia"/>
                <w:color w:val="auto"/>
                <w:sz w:val="24"/>
                <w:szCs w:val="24"/>
              </w:rPr>
            </w:pPr>
          </w:p>
        </w:tc>
      </w:tr>
      <w:tr w14:paraId="22868E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AEC231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58</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27182CA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29B60E8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森林公安局</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2ECD65F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1F07400C">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3233A5B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623B3ABD">
            <w:pPr>
              <w:pStyle w:val="10"/>
              <w:spacing w:line="360" w:lineRule="auto"/>
              <w:jc w:val="both"/>
              <w:rPr>
                <w:rFonts w:hint="eastAsia" w:asciiTheme="minorEastAsia" w:hAnsiTheme="minorEastAsia" w:eastAsiaTheme="minorEastAsia" w:cstheme="minorEastAsia"/>
                <w:color w:val="auto"/>
                <w:sz w:val="24"/>
                <w:szCs w:val="24"/>
              </w:rPr>
            </w:pPr>
          </w:p>
        </w:tc>
      </w:tr>
      <w:tr w14:paraId="4852C5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87C4DF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59</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3744683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5696584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福州植物园分局</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2C36C40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55D6BA8F">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4B874A0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72C0B374">
            <w:pPr>
              <w:pStyle w:val="10"/>
              <w:spacing w:line="360" w:lineRule="auto"/>
              <w:jc w:val="both"/>
              <w:rPr>
                <w:rFonts w:hint="eastAsia" w:asciiTheme="minorEastAsia" w:hAnsiTheme="minorEastAsia" w:eastAsiaTheme="minorEastAsia" w:cstheme="minorEastAsia"/>
                <w:color w:val="auto"/>
                <w:sz w:val="24"/>
                <w:szCs w:val="24"/>
              </w:rPr>
            </w:pPr>
          </w:p>
        </w:tc>
      </w:tr>
      <w:tr w14:paraId="00E574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43181B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60</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4EB58F72">
            <w:pPr>
              <w:pStyle w:val="10"/>
              <w:spacing w:line="360"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租用机房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4B61B0C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长乐数字福建云计算中心</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5315A93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5DA70C24">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4CDA341A">
            <w:pPr>
              <w:pStyle w:val="10"/>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6E4C045D">
            <w:pPr>
              <w:pStyle w:val="10"/>
              <w:spacing w:line="360" w:lineRule="auto"/>
              <w:jc w:val="both"/>
              <w:rPr>
                <w:rFonts w:hint="eastAsia" w:asciiTheme="minorEastAsia" w:hAnsiTheme="minorEastAsia" w:eastAsiaTheme="minorEastAsia" w:cstheme="minorEastAsia"/>
                <w:color w:val="auto"/>
                <w:sz w:val="24"/>
                <w:szCs w:val="24"/>
              </w:rPr>
            </w:pPr>
          </w:p>
        </w:tc>
      </w:tr>
      <w:tr w14:paraId="2B9FBE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B512B1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43F7DE4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省公安厅1号机房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5907A26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省通信管理局（黎明）</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2148741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MSTP 100M</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6868712D">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4745B29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58E9C504">
            <w:pPr>
              <w:pStyle w:val="10"/>
              <w:spacing w:line="360" w:lineRule="auto"/>
              <w:jc w:val="both"/>
              <w:rPr>
                <w:rFonts w:hint="eastAsia" w:asciiTheme="minorEastAsia" w:hAnsiTheme="minorEastAsia" w:eastAsiaTheme="minorEastAsia" w:cstheme="minorEastAsia"/>
                <w:color w:val="auto"/>
                <w:sz w:val="24"/>
                <w:szCs w:val="24"/>
              </w:rPr>
            </w:pPr>
          </w:p>
        </w:tc>
      </w:tr>
      <w:tr w14:paraId="67456C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64B410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214FADB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省公安厅1号机房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7FDA794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福州电信东南信息园</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6D45D07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OTN 1000M</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2A56676F">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7AD629E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4597AE35">
            <w:pPr>
              <w:pStyle w:val="10"/>
              <w:spacing w:line="360" w:lineRule="auto"/>
              <w:jc w:val="both"/>
              <w:rPr>
                <w:rFonts w:hint="eastAsia" w:asciiTheme="minorEastAsia" w:hAnsiTheme="minorEastAsia" w:eastAsiaTheme="minorEastAsia" w:cstheme="minorEastAsia"/>
                <w:color w:val="auto"/>
                <w:sz w:val="24"/>
                <w:szCs w:val="24"/>
              </w:rPr>
            </w:pPr>
          </w:p>
        </w:tc>
      </w:tr>
      <w:tr w14:paraId="48A162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241167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79FD88C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省公安厅1号机房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00098E8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福州移动长乐北数机房</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76FDDB0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OTN 1000M</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2A8D847E">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59407EC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69F72E39">
            <w:pPr>
              <w:pStyle w:val="10"/>
              <w:spacing w:line="360" w:lineRule="auto"/>
              <w:jc w:val="both"/>
              <w:rPr>
                <w:rFonts w:hint="eastAsia" w:asciiTheme="minorEastAsia" w:hAnsiTheme="minorEastAsia" w:eastAsiaTheme="minorEastAsia" w:cstheme="minorEastAsia"/>
                <w:color w:val="auto"/>
                <w:sz w:val="24"/>
                <w:szCs w:val="24"/>
              </w:rPr>
            </w:pPr>
          </w:p>
        </w:tc>
      </w:tr>
      <w:tr w14:paraId="704F12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E17F73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64</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04E561B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省公安厅1号机房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7F08D35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福州联通视频云机房（长乐市联通枢纽楼）</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3A31061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OTN 1000M</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196D9C9B">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18DD12B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72774C8E">
            <w:pPr>
              <w:pStyle w:val="10"/>
              <w:spacing w:line="360" w:lineRule="auto"/>
              <w:jc w:val="both"/>
              <w:rPr>
                <w:rFonts w:hint="eastAsia" w:asciiTheme="minorEastAsia" w:hAnsiTheme="minorEastAsia" w:eastAsiaTheme="minorEastAsia" w:cstheme="minorEastAsia"/>
                <w:color w:val="auto"/>
                <w:sz w:val="24"/>
                <w:szCs w:val="24"/>
              </w:rPr>
            </w:pPr>
          </w:p>
        </w:tc>
      </w:tr>
      <w:tr w14:paraId="2478FA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A034D9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65</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7B49306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35362AA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备用线路</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5CE6817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备用线路</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2C51A74F">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5C84206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6F8E0246">
            <w:pPr>
              <w:pStyle w:val="10"/>
              <w:spacing w:line="360" w:lineRule="auto"/>
              <w:jc w:val="both"/>
              <w:rPr>
                <w:rFonts w:hint="eastAsia" w:asciiTheme="minorEastAsia" w:hAnsiTheme="minorEastAsia" w:eastAsiaTheme="minorEastAsia" w:cstheme="minorEastAsia"/>
                <w:color w:val="auto"/>
                <w:sz w:val="24"/>
                <w:szCs w:val="24"/>
              </w:rPr>
            </w:pPr>
          </w:p>
        </w:tc>
      </w:tr>
      <w:tr w14:paraId="4DE9F4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9881F7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66</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35BB1B7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599AB0D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福州公安局</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585A7E0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339AFFAF">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43EE1A1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057" w:type="dxa"/>
            <w:vMerge w:val="restart"/>
            <w:tcBorders>
              <w:top w:val="nil"/>
              <w:left w:val="nil"/>
              <w:bottom w:val="nil"/>
              <w:right w:val="single" w:color="000000" w:sz="4" w:space="0"/>
            </w:tcBorders>
            <w:tcMar>
              <w:top w:w="0" w:type="dxa"/>
              <w:left w:w="90" w:type="dxa"/>
              <w:bottom w:w="0" w:type="dxa"/>
              <w:right w:w="90" w:type="dxa"/>
            </w:tcMar>
            <w:vAlign w:val="top"/>
          </w:tcPr>
          <w:p w14:paraId="777F9F2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不同运营商备份线路</w:t>
            </w:r>
          </w:p>
        </w:tc>
      </w:tr>
      <w:tr w14:paraId="6C2534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03A6D2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67</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014B5F0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4A819C3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福州移动MW机房</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6A563DD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0EF64DF3">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3F57617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vMerge w:val="continue"/>
            <w:tcBorders>
              <w:top w:val="nil"/>
              <w:left w:val="nil"/>
              <w:bottom w:val="nil"/>
              <w:right w:val="single" w:color="000000" w:sz="4" w:space="0"/>
            </w:tcBorders>
          </w:tcPr>
          <w:p w14:paraId="3BAEB618">
            <w:pPr>
              <w:spacing w:line="360" w:lineRule="auto"/>
              <w:rPr>
                <w:rFonts w:hint="eastAsia" w:asciiTheme="minorEastAsia" w:hAnsiTheme="minorEastAsia" w:eastAsiaTheme="minorEastAsia" w:cstheme="minorEastAsia"/>
                <w:color w:val="auto"/>
                <w:sz w:val="24"/>
                <w:szCs w:val="24"/>
              </w:rPr>
            </w:pPr>
          </w:p>
        </w:tc>
      </w:tr>
      <w:tr w14:paraId="3D5DE9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21049F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68</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559D7CB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0A99378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福州移动YC</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37CCE1A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5D79D1FE">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191F7DB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vMerge w:val="continue"/>
            <w:tcBorders>
              <w:top w:val="nil"/>
              <w:left w:val="nil"/>
              <w:bottom w:val="nil"/>
              <w:right w:val="single" w:color="000000" w:sz="4" w:space="0"/>
            </w:tcBorders>
          </w:tcPr>
          <w:p w14:paraId="26ECEF85">
            <w:pPr>
              <w:spacing w:line="360" w:lineRule="auto"/>
              <w:rPr>
                <w:rFonts w:hint="eastAsia" w:asciiTheme="minorEastAsia" w:hAnsiTheme="minorEastAsia" w:eastAsiaTheme="minorEastAsia" w:cstheme="minorEastAsia"/>
                <w:color w:val="auto"/>
                <w:sz w:val="24"/>
                <w:szCs w:val="24"/>
              </w:rPr>
            </w:pPr>
          </w:p>
        </w:tc>
      </w:tr>
      <w:tr w14:paraId="179272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E0B2D4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69</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7E2B54F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5F83CD4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福州移动YC机房</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2E60ACF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1865E828">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2C0C025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vMerge w:val="continue"/>
            <w:tcBorders>
              <w:top w:val="nil"/>
              <w:left w:val="nil"/>
              <w:bottom w:val="nil"/>
              <w:right w:val="single" w:color="000000" w:sz="4" w:space="0"/>
            </w:tcBorders>
          </w:tcPr>
          <w:p w14:paraId="14860607">
            <w:pPr>
              <w:spacing w:line="360" w:lineRule="auto"/>
              <w:rPr>
                <w:rFonts w:hint="eastAsia" w:asciiTheme="minorEastAsia" w:hAnsiTheme="minorEastAsia" w:eastAsiaTheme="minorEastAsia" w:cstheme="minorEastAsia"/>
                <w:color w:val="auto"/>
                <w:sz w:val="24"/>
                <w:szCs w:val="24"/>
              </w:rPr>
            </w:pPr>
          </w:p>
        </w:tc>
      </w:tr>
      <w:tr w14:paraId="312661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BF2420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70</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04AFF96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790B1CF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福州移动MW机房</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664DDAE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624B70AB">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2A7BC5E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vMerge w:val="continue"/>
            <w:tcBorders>
              <w:top w:val="nil"/>
              <w:left w:val="nil"/>
              <w:bottom w:val="nil"/>
              <w:right w:val="single" w:color="000000" w:sz="4" w:space="0"/>
            </w:tcBorders>
          </w:tcPr>
          <w:p w14:paraId="5C3368CF">
            <w:pPr>
              <w:spacing w:line="360" w:lineRule="auto"/>
              <w:rPr>
                <w:rFonts w:hint="eastAsia" w:asciiTheme="minorEastAsia" w:hAnsiTheme="minorEastAsia" w:eastAsiaTheme="minorEastAsia" w:cstheme="minorEastAsia"/>
                <w:color w:val="auto"/>
                <w:sz w:val="24"/>
                <w:szCs w:val="24"/>
              </w:rPr>
            </w:pPr>
          </w:p>
        </w:tc>
      </w:tr>
      <w:tr w14:paraId="1F1111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2FA0D1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064EAC8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1A63D36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福州移动JS 1条、YC   2条、MW机房2条</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55AAF9C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1C9C1139">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368EA0C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057" w:type="dxa"/>
            <w:vMerge w:val="continue"/>
            <w:tcBorders>
              <w:top w:val="nil"/>
              <w:left w:val="nil"/>
              <w:bottom w:val="nil"/>
              <w:right w:val="single" w:color="000000" w:sz="4" w:space="0"/>
            </w:tcBorders>
          </w:tcPr>
          <w:p w14:paraId="5E782D67">
            <w:pPr>
              <w:spacing w:line="360" w:lineRule="auto"/>
              <w:rPr>
                <w:rFonts w:hint="eastAsia" w:asciiTheme="minorEastAsia" w:hAnsiTheme="minorEastAsia" w:eastAsiaTheme="minorEastAsia" w:cstheme="minorEastAsia"/>
                <w:color w:val="auto"/>
                <w:sz w:val="24"/>
                <w:szCs w:val="24"/>
              </w:rPr>
            </w:pPr>
          </w:p>
        </w:tc>
      </w:tr>
      <w:tr w14:paraId="519EA4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2174E3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72</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259E628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13E267AA">
            <w:pPr>
              <w:pStyle w:val="10"/>
              <w:spacing w:line="360" w:lineRule="auto"/>
              <w:jc w:val="both"/>
              <w:rPr>
                <w:rFonts w:hint="eastAsia" w:asciiTheme="minorEastAsia" w:hAnsiTheme="minorEastAsia" w:eastAsiaTheme="minorEastAsia" w:cstheme="minorEastAsia"/>
                <w:color w:val="auto"/>
                <w:sz w:val="24"/>
                <w:szCs w:val="24"/>
              </w:rPr>
            </w:pP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03BF2E2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500M</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328F1FF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移动终端接入链路</w:t>
            </w: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7B66BF3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057" w:type="dxa"/>
            <w:vMerge w:val="continue"/>
            <w:tcBorders>
              <w:top w:val="nil"/>
              <w:left w:val="nil"/>
              <w:bottom w:val="nil"/>
              <w:right w:val="single" w:color="000000" w:sz="4" w:space="0"/>
            </w:tcBorders>
          </w:tcPr>
          <w:p w14:paraId="19916F68">
            <w:pPr>
              <w:spacing w:line="360" w:lineRule="auto"/>
              <w:rPr>
                <w:rFonts w:hint="eastAsia" w:asciiTheme="minorEastAsia" w:hAnsiTheme="minorEastAsia" w:eastAsiaTheme="minorEastAsia" w:cstheme="minorEastAsia"/>
                <w:color w:val="auto"/>
                <w:sz w:val="24"/>
                <w:szCs w:val="24"/>
              </w:rPr>
            </w:pPr>
          </w:p>
        </w:tc>
      </w:tr>
      <w:tr w14:paraId="5C55D9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54ADAF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7677D53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3D97999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备用线路</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423F446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备用线路</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2970D27D">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1B22F49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057" w:type="dxa"/>
            <w:vMerge w:val="continue"/>
            <w:tcBorders>
              <w:top w:val="nil"/>
              <w:left w:val="nil"/>
              <w:bottom w:val="nil"/>
              <w:right w:val="single" w:color="000000" w:sz="4" w:space="0"/>
            </w:tcBorders>
          </w:tcPr>
          <w:p w14:paraId="4D4D8B85">
            <w:pPr>
              <w:spacing w:line="360" w:lineRule="auto"/>
              <w:rPr>
                <w:rFonts w:hint="eastAsia" w:asciiTheme="minorEastAsia" w:hAnsiTheme="minorEastAsia" w:eastAsiaTheme="minorEastAsia" w:cstheme="minorEastAsia"/>
                <w:color w:val="auto"/>
                <w:sz w:val="24"/>
                <w:szCs w:val="24"/>
              </w:rPr>
            </w:pPr>
          </w:p>
        </w:tc>
      </w:tr>
      <w:tr w14:paraId="1562B1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C05D26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74</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472FCBD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699F370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交警总队</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370C716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5F604F3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不同路由</w:t>
            </w: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523C4ED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057"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570D274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对端付费</w:t>
            </w:r>
          </w:p>
        </w:tc>
      </w:tr>
      <w:tr w14:paraId="43F41C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988FB9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75</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497CDD9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56C2BA8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JW</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14095BD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7F32AD3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不同路由</w:t>
            </w: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76FB9DD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77CCAA7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对端付费</w:t>
            </w:r>
          </w:p>
        </w:tc>
      </w:tr>
      <w:tr w14:paraId="7041EC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FA3F38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76</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1C71433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071A817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警察学院</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2ADCEC9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34FC504F">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2F008CC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50CF653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对端付费</w:t>
            </w:r>
          </w:p>
        </w:tc>
      </w:tr>
      <w:tr w14:paraId="73F5C3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961CBC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77</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7A0B2BF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426DE4E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铁路公安处</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4A4826B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38CDB38C">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771DBDF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1982F90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对端付费</w:t>
            </w:r>
          </w:p>
        </w:tc>
      </w:tr>
      <w:tr w14:paraId="4A762C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431C52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78</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0587437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3B7E562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省政法委</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644D8F6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60BDB66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不同路由</w:t>
            </w: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1F7475F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48A5D1E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对端付费</w:t>
            </w:r>
          </w:p>
        </w:tc>
      </w:tr>
      <w:tr w14:paraId="062369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AFC9EC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79</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0F55E05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5078F87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福州海关缉私局</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03CB93B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12C740B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不同路由</w:t>
            </w: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79E9A1E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154D549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对端付费</w:t>
            </w:r>
          </w:p>
        </w:tc>
      </w:tr>
      <w:tr w14:paraId="733CDE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A59186F">
            <w:pPr>
              <w:pStyle w:val="10"/>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80</w:t>
            </w:r>
          </w:p>
        </w:tc>
        <w:tc>
          <w:tcPr>
            <w:tcW w:w="1862" w:type="dxa"/>
            <w:tcBorders>
              <w:top w:val="nil"/>
              <w:left w:val="nil"/>
              <w:bottom w:val="single" w:color="000000" w:sz="4" w:space="0"/>
              <w:right w:val="single" w:color="000000" w:sz="4" w:space="0"/>
            </w:tcBorders>
            <w:tcMar>
              <w:top w:w="0" w:type="dxa"/>
              <w:left w:w="90" w:type="dxa"/>
              <w:bottom w:w="0" w:type="dxa"/>
              <w:right w:w="90" w:type="dxa"/>
            </w:tcMar>
            <w:vAlign w:val="top"/>
          </w:tcPr>
          <w:p w14:paraId="2650FAD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950" w:type="dxa"/>
            <w:tcBorders>
              <w:top w:val="nil"/>
              <w:left w:val="nil"/>
              <w:bottom w:val="single" w:color="000000" w:sz="4" w:space="0"/>
              <w:right w:val="single" w:color="000000" w:sz="4" w:space="0"/>
            </w:tcBorders>
            <w:tcMar>
              <w:top w:w="0" w:type="dxa"/>
              <w:left w:w="90" w:type="dxa"/>
              <w:bottom w:w="0" w:type="dxa"/>
              <w:right w:w="90" w:type="dxa"/>
            </w:tcMar>
            <w:vAlign w:val="top"/>
          </w:tcPr>
          <w:p w14:paraId="6F25CF6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高速公路支队</w:t>
            </w:r>
          </w:p>
        </w:tc>
        <w:tc>
          <w:tcPr>
            <w:tcW w:w="1069" w:type="dxa"/>
            <w:tcBorders>
              <w:top w:val="nil"/>
              <w:left w:val="nil"/>
              <w:bottom w:val="single" w:color="000000" w:sz="4" w:space="0"/>
              <w:right w:val="single" w:color="000000" w:sz="4" w:space="0"/>
            </w:tcBorders>
            <w:tcMar>
              <w:top w:w="0" w:type="dxa"/>
              <w:left w:w="90" w:type="dxa"/>
              <w:bottom w:w="0" w:type="dxa"/>
              <w:right w:w="90" w:type="dxa"/>
            </w:tcMar>
            <w:vAlign w:val="top"/>
          </w:tcPr>
          <w:p w14:paraId="3AEA934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裸光纤</w:t>
            </w:r>
          </w:p>
        </w:tc>
        <w:tc>
          <w:tcPr>
            <w:tcW w:w="1094" w:type="dxa"/>
            <w:tcBorders>
              <w:top w:val="nil"/>
              <w:left w:val="nil"/>
              <w:bottom w:val="single" w:color="000000" w:sz="4" w:space="0"/>
              <w:right w:val="single" w:color="000000" w:sz="4" w:space="0"/>
            </w:tcBorders>
            <w:tcMar>
              <w:top w:w="0" w:type="dxa"/>
              <w:left w:w="90" w:type="dxa"/>
              <w:bottom w:w="0" w:type="dxa"/>
              <w:right w:w="90" w:type="dxa"/>
            </w:tcMar>
            <w:vAlign w:val="top"/>
          </w:tcPr>
          <w:p w14:paraId="63EA737B">
            <w:pPr>
              <w:pStyle w:val="10"/>
              <w:spacing w:line="360" w:lineRule="auto"/>
              <w:jc w:val="both"/>
              <w:rPr>
                <w:rFonts w:hint="eastAsia" w:asciiTheme="minorEastAsia" w:hAnsiTheme="minorEastAsia" w:eastAsiaTheme="minorEastAsia" w:cstheme="minorEastAsia"/>
                <w:color w:val="auto"/>
                <w:sz w:val="24"/>
                <w:szCs w:val="24"/>
              </w:rPr>
            </w:pPr>
          </w:p>
        </w:tc>
        <w:tc>
          <w:tcPr>
            <w:tcW w:w="641" w:type="dxa"/>
            <w:tcBorders>
              <w:top w:val="nil"/>
              <w:left w:val="nil"/>
              <w:bottom w:val="single" w:color="000000" w:sz="4" w:space="0"/>
              <w:right w:val="single" w:color="000000" w:sz="4" w:space="0"/>
            </w:tcBorders>
            <w:tcMar>
              <w:top w:w="0" w:type="dxa"/>
              <w:left w:w="90" w:type="dxa"/>
              <w:bottom w:w="0" w:type="dxa"/>
              <w:right w:w="90" w:type="dxa"/>
            </w:tcMar>
            <w:vAlign w:val="top"/>
          </w:tcPr>
          <w:p w14:paraId="27C2DB9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57" w:type="dxa"/>
            <w:tcBorders>
              <w:top w:val="nil"/>
              <w:left w:val="nil"/>
              <w:bottom w:val="single" w:color="000000" w:sz="4" w:space="0"/>
              <w:right w:val="single" w:color="000000" w:sz="4" w:space="0"/>
            </w:tcBorders>
            <w:tcMar>
              <w:top w:w="0" w:type="dxa"/>
              <w:left w:w="90" w:type="dxa"/>
              <w:bottom w:w="0" w:type="dxa"/>
              <w:right w:w="90" w:type="dxa"/>
            </w:tcMar>
            <w:vAlign w:val="top"/>
          </w:tcPr>
          <w:p w14:paraId="55AB7CF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对端付费</w:t>
            </w:r>
          </w:p>
        </w:tc>
      </w:tr>
    </w:tbl>
    <w:p w14:paraId="505EB29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（3）互联网</w:t>
      </w:r>
    </w:p>
    <w:tbl>
      <w:tblPr>
        <w:tblStyle w:val="6"/>
        <w:tblW w:w="826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0"/>
        <w:gridCol w:w="728"/>
        <w:gridCol w:w="1281"/>
        <w:gridCol w:w="2048"/>
        <w:gridCol w:w="1658"/>
      </w:tblGrid>
      <w:tr w14:paraId="579BF0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vAlign w:val="top"/>
          </w:tcPr>
          <w:p w14:paraId="4C47DF2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2010"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6B1F1FE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本端</w:t>
            </w:r>
          </w:p>
        </w:tc>
        <w:tc>
          <w:tcPr>
            <w:tcW w:w="728"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2ACA2BAD">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速率</w:t>
            </w:r>
          </w:p>
        </w:tc>
        <w:tc>
          <w:tcPr>
            <w:tcW w:w="1281"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1AF3EB7A">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接口要求</w:t>
            </w:r>
          </w:p>
        </w:tc>
        <w:tc>
          <w:tcPr>
            <w:tcW w:w="2048"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47F7AEF0">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1658"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4C38A114">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643A71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20058D3">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010" w:type="dxa"/>
            <w:tcBorders>
              <w:top w:val="nil"/>
              <w:left w:val="nil"/>
              <w:bottom w:val="single" w:color="000000" w:sz="4" w:space="0"/>
              <w:right w:val="single" w:color="000000" w:sz="4" w:space="0"/>
            </w:tcBorders>
            <w:tcMar>
              <w:top w:w="0" w:type="dxa"/>
              <w:left w:w="90" w:type="dxa"/>
              <w:bottom w:w="0" w:type="dxa"/>
              <w:right w:w="90" w:type="dxa"/>
            </w:tcMar>
            <w:vAlign w:val="top"/>
          </w:tcPr>
          <w:p w14:paraId="2F8BB3A0">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w:t>
            </w:r>
          </w:p>
        </w:tc>
        <w:tc>
          <w:tcPr>
            <w:tcW w:w="728" w:type="dxa"/>
            <w:tcBorders>
              <w:top w:val="nil"/>
              <w:left w:val="nil"/>
              <w:bottom w:val="single" w:color="000000" w:sz="4" w:space="0"/>
              <w:right w:val="single" w:color="000000" w:sz="4" w:space="0"/>
            </w:tcBorders>
            <w:tcMar>
              <w:top w:w="0" w:type="dxa"/>
              <w:left w:w="90" w:type="dxa"/>
              <w:bottom w:w="0" w:type="dxa"/>
              <w:right w:w="90" w:type="dxa"/>
            </w:tcMar>
            <w:vAlign w:val="top"/>
          </w:tcPr>
          <w:p w14:paraId="72877D1F">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1G</w:t>
            </w:r>
          </w:p>
        </w:tc>
        <w:tc>
          <w:tcPr>
            <w:tcW w:w="1281" w:type="dxa"/>
            <w:tcBorders>
              <w:top w:val="nil"/>
              <w:left w:val="nil"/>
              <w:bottom w:val="single" w:color="000000" w:sz="4" w:space="0"/>
              <w:right w:val="single" w:color="000000" w:sz="4" w:space="0"/>
            </w:tcBorders>
            <w:tcMar>
              <w:top w:w="0" w:type="dxa"/>
              <w:left w:w="90" w:type="dxa"/>
              <w:bottom w:w="0" w:type="dxa"/>
              <w:right w:w="90" w:type="dxa"/>
            </w:tcMar>
            <w:vAlign w:val="top"/>
          </w:tcPr>
          <w:p w14:paraId="33093518">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单模光口（不同物理路由）</w:t>
            </w:r>
          </w:p>
        </w:tc>
        <w:tc>
          <w:tcPr>
            <w:tcW w:w="2048" w:type="dxa"/>
            <w:tcBorders>
              <w:top w:val="nil"/>
              <w:left w:val="nil"/>
              <w:bottom w:val="single" w:color="000000" w:sz="4" w:space="0"/>
              <w:right w:val="single" w:color="000000" w:sz="4" w:space="0"/>
            </w:tcBorders>
            <w:tcMar>
              <w:top w:w="0" w:type="dxa"/>
              <w:left w:w="90" w:type="dxa"/>
              <w:bottom w:w="0" w:type="dxa"/>
              <w:right w:w="90" w:type="dxa"/>
            </w:tcMar>
            <w:vAlign w:val="top"/>
          </w:tcPr>
          <w:p w14:paraId="1FE20540">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2（固定）</w:t>
            </w:r>
          </w:p>
        </w:tc>
        <w:tc>
          <w:tcPr>
            <w:tcW w:w="1658" w:type="dxa"/>
            <w:tcBorders>
              <w:top w:val="nil"/>
              <w:left w:val="nil"/>
              <w:bottom w:val="single" w:color="000000" w:sz="4" w:space="0"/>
              <w:right w:val="single" w:color="000000" w:sz="4" w:space="0"/>
            </w:tcBorders>
            <w:tcMar>
              <w:top w:w="0" w:type="dxa"/>
              <w:left w:w="90" w:type="dxa"/>
              <w:bottom w:w="0" w:type="dxa"/>
              <w:right w:w="90" w:type="dxa"/>
            </w:tcMar>
            <w:vAlign w:val="top"/>
          </w:tcPr>
          <w:p w14:paraId="60C1AB1A">
            <w:pPr>
              <w:pStyle w:val="10"/>
              <w:spacing w:line="360" w:lineRule="auto"/>
              <w:jc w:val="center"/>
              <w:rPr>
                <w:rFonts w:hint="eastAsia" w:asciiTheme="minorEastAsia" w:hAnsiTheme="minorEastAsia" w:eastAsiaTheme="minorEastAsia" w:cstheme="minorEastAsia"/>
                <w:color w:val="auto"/>
                <w:sz w:val="24"/>
                <w:szCs w:val="24"/>
              </w:rPr>
            </w:pPr>
          </w:p>
        </w:tc>
      </w:tr>
      <w:tr w14:paraId="7399D2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81DE6B3">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2010" w:type="dxa"/>
            <w:tcBorders>
              <w:top w:val="nil"/>
              <w:left w:val="nil"/>
              <w:bottom w:val="single" w:color="000000" w:sz="4" w:space="0"/>
              <w:right w:val="single" w:color="000000" w:sz="4" w:space="0"/>
            </w:tcBorders>
            <w:tcMar>
              <w:top w:w="0" w:type="dxa"/>
              <w:left w:w="90" w:type="dxa"/>
              <w:bottom w:w="0" w:type="dxa"/>
              <w:right w:w="90" w:type="dxa"/>
            </w:tcMar>
            <w:vAlign w:val="top"/>
          </w:tcPr>
          <w:p w14:paraId="426B09E4">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w:t>
            </w:r>
          </w:p>
        </w:tc>
        <w:tc>
          <w:tcPr>
            <w:tcW w:w="728" w:type="dxa"/>
            <w:tcBorders>
              <w:top w:val="nil"/>
              <w:left w:val="nil"/>
              <w:bottom w:val="single" w:color="000000" w:sz="4" w:space="0"/>
              <w:right w:val="single" w:color="000000" w:sz="4" w:space="0"/>
            </w:tcBorders>
            <w:tcMar>
              <w:top w:w="0" w:type="dxa"/>
              <w:left w:w="90" w:type="dxa"/>
              <w:bottom w:w="0" w:type="dxa"/>
              <w:right w:w="90" w:type="dxa"/>
            </w:tcMar>
            <w:vAlign w:val="top"/>
          </w:tcPr>
          <w:p w14:paraId="36C9D90B">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1G</w:t>
            </w:r>
          </w:p>
        </w:tc>
        <w:tc>
          <w:tcPr>
            <w:tcW w:w="1281" w:type="dxa"/>
            <w:tcBorders>
              <w:top w:val="nil"/>
              <w:left w:val="nil"/>
              <w:bottom w:val="single" w:color="000000" w:sz="4" w:space="0"/>
              <w:right w:val="single" w:color="000000" w:sz="4" w:space="0"/>
            </w:tcBorders>
            <w:tcMar>
              <w:top w:w="0" w:type="dxa"/>
              <w:left w:w="90" w:type="dxa"/>
              <w:bottom w:w="0" w:type="dxa"/>
              <w:right w:w="90" w:type="dxa"/>
            </w:tcMar>
            <w:vAlign w:val="top"/>
          </w:tcPr>
          <w:p w14:paraId="10D082F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单模光口（不同物理路由）</w:t>
            </w:r>
          </w:p>
        </w:tc>
        <w:tc>
          <w:tcPr>
            <w:tcW w:w="2048" w:type="dxa"/>
            <w:tcBorders>
              <w:top w:val="nil"/>
              <w:left w:val="nil"/>
              <w:bottom w:val="single" w:color="000000" w:sz="4" w:space="0"/>
              <w:right w:val="single" w:color="000000" w:sz="4" w:space="0"/>
            </w:tcBorders>
            <w:tcMar>
              <w:top w:w="0" w:type="dxa"/>
              <w:left w:w="90" w:type="dxa"/>
              <w:bottom w:w="0" w:type="dxa"/>
              <w:right w:w="90" w:type="dxa"/>
            </w:tcMar>
            <w:vAlign w:val="top"/>
          </w:tcPr>
          <w:p w14:paraId="70D1B11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2（固定）</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B02DDE">
            <w:pPr>
              <w:pStyle w:val="10"/>
              <w:spacing w:line="360" w:lineRule="auto"/>
              <w:jc w:val="center"/>
              <w:rPr>
                <w:rFonts w:hint="eastAsia" w:asciiTheme="minorEastAsia" w:hAnsiTheme="minorEastAsia" w:eastAsiaTheme="minorEastAsia" w:cstheme="minorEastAsia"/>
                <w:color w:val="auto"/>
                <w:sz w:val="24"/>
                <w:szCs w:val="24"/>
              </w:rPr>
            </w:pPr>
          </w:p>
        </w:tc>
      </w:tr>
      <w:tr w14:paraId="497502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8A7A39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2010" w:type="dxa"/>
            <w:tcBorders>
              <w:top w:val="nil"/>
              <w:left w:val="nil"/>
              <w:bottom w:val="single" w:color="000000" w:sz="4" w:space="0"/>
              <w:right w:val="single" w:color="000000" w:sz="4" w:space="0"/>
            </w:tcBorders>
            <w:tcMar>
              <w:top w:w="0" w:type="dxa"/>
              <w:left w:w="90" w:type="dxa"/>
              <w:bottom w:w="0" w:type="dxa"/>
              <w:right w:w="90" w:type="dxa"/>
            </w:tcMar>
            <w:vAlign w:val="top"/>
          </w:tcPr>
          <w:p w14:paraId="5DDC277E">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西宾</w:t>
            </w:r>
          </w:p>
        </w:tc>
        <w:tc>
          <w:tcPr>
            <w:tcW w:w="728" w:type="dxa"/>
            <w:tcBorders>
              <w:top w:val="nil"/>
              <w:left w:val="nil"/>
              <w:bottom w:val="single" w:color="000000" w:sz="4" w:space="0"/>
              <w:right w:val="single" w:color="000000" w:sz="4" w:space="0"/>
            </w:tcBorders>
            <w:tcMar>
              <w:top w:w="0" w:type="dxa"/>
              <w:left w:w="90" w:type="dxa"/>
              <w:bottom w:w="0" w:type="dxa"/>
              <w:right w:w="90" w:type="dxa"/>
            </w:tcMar>
            <w:vAlign w:val="top"/>
          </w:tcPr>
          <w:p w14:paraId="2409F6F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100M</w:t>
            </w:r>
          </w:p>
        </w:tc>
        <w:tc>
          <w:tcPr>
            <w:tcW w:w="1281" w:type="dxa"/>
            <w:tcBorders>
              <w:top w:val="nil"/>
              <w:left w:val="nil"/>
              <w:bottom w:val="single" w:color="000000" w:sz="4" w:space="0"/>
              <w:right w:val="single" w:color="000000" w:sz="4" w:space="0"/>
            </w:tcBorders>
            <w:tcMar>
              <w:top w:w="0" w:type="dxa"/>
              <w:left w:w="90" w:type="dxa"/>
              <w:bottom w:w="0" w:type="dxa"/>
              <w:right w:w="90" w:type="dxa"/>
            </w:tcMar>
            <w:vAlign w:val="top"/>
          </w:tcPr>
          <w:p w14:paraId="1FA7D3A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RJ45</w:t>
            </w:r>
          </w:p>
        </w:tc>
        <w:tc>
          <w:tcPr>
            <w:tcW w:w="2048" w:type="dxa"/>
            <w:tcBorders>
              <w:top w:val="nil"/>
              <w:left w:val="nil"/>
              <w:bottom w:val="single" w:color="000000" w:sz="4" w:space="0"/>
              <w:right w:val="single" w:color="000000" w:sz="4" w:space="0"/>
            </w:tcBorders>
            <w:tcMar>
              <w:top w:w="0" w:type="dxa"/>
              <w:left w:w="90" w:type="dxa"/>
              <w:bottom w:w="0" w:type="dxa"/>
              <w:right w:w="90" w:type="dxa"/>
            </w:tcMar>
            <w:vAlign w:val="top"/>
          </w:tcPr>
          <w:p w14:paraId="4DD246A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2（固定）</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44373E">
            <w:pPr>
              <w:pStyle w:val="10"/>
              <w:spacing w:line="360" w:lineRule="auto"/>
              <w:jc w:val="center"/>
              <w:rPr>
                <w:rFonts w:hint="eastAsia" w:asciiTheme="minorEastAsia" w:hAnsiTheme="minorEastAsia" w:eastAsiaTheme="minorEastAsia" w:cstheme="minorEastAsia"/>
                <w:color w:val="auto"/>
                <w:sz w:val="24"/>
                <w:szCs w:val="24"/>
              </w:rPr>
            </w:pPr>
          </w:p>
        </w:tc>
      </w:tr>
      <w:tr w14:paraId="59ABB4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8AB03C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2010" w:type="dxa"/>
            <w:tcBorders>
              <w:top w:val="nil"/>
              <w:left w:val="nil"/>
              <w:bottom w:val="single" w:color="000000" w:sz="4" w:space="0"/>
              <w:right w:val="single" w:color="000000" w:sz="4" w:space="0"/>
            </w:tcBorders>
            <w:tcMar>
              <w:top w:w="0" w:type="dxa"/>
              <w:left w:w="90" w:type="dxa"/>
              <w:bottom w:w="0" w:type="dxa"/>
              <w:right w:w="90" w:type="dxa"/>
            </w:tcMar>
            <w:vAlign w:val="top"/>
          </w:tcPr>
          <w:p w14:paraId="1A2B9080">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省公安厅科技楼机房</w:t>
            </w:r>
          </w:p>
        </w:tc>
        <w:tc>
          <w:tcPr>
            <w:tcW w:w="728" w:type="dxa"/>
            <w:tcBorders>
              <w:top w:val="nil"/>
              <w:left w:val="nil"/>
              <w:bottom w:val="single" w:color="000000" w:sz="4" w:space="0"/>
              <w:right w:val="single" w:color="000000" w:sz="4" w:space="0"/>
            </w:tcBorders>
            <w:tcMar>
              <w:top w:w="0" w:type="dxa"/>
              <w:left w:w="90" w:type="dxa"/>
              <w:bottom w:w="0" w:type="dxa"/>
              <w:right w:w="90" w:type="dxa"/>
            </w:tcMar>
            <w:vAlign w:val="top"/>
          </w:tcPr>
          <w:p w14:paraId="32D3EA3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300M</w:t>
            </w:r>
          </w:p>
        </w:tc>
        <w:tc>
          <w:tcPr>
            <w:tcW w:w="1281" w:type="dxa"/>
            <w:tcBorders>
              <w:top w:val="nil"/>
              <w:left w:val="nil"/>
              <w:bottom w:val="single" w:color="000000" w:sz="4" w:space="0"/>
              <w:right w:val="single" w:color="000000" w:sz="4" w:space="0"/>
            </w:tcBorders>
            <w:tcMar>
              <w:top w:w="0" w:type="dxa"/>
              <w:left w:w="90" w:type="dxa"/>
              <w:bottom w:w="0" w:type="dxa"/>
              <w:right w:w="90" w:type="dxa"/>
            </w:tcMar>
            <w:vAlign w:val="top"/>
          </w:tcPr>
          <w:p w14:paraId="64046CD8">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光口</w:t>
            </w:r>
          </w:p>
        </w:tc>
        <w:tc>
          <w:tcPr>
            <w:tcW w:w="2048" w:type="dxa"/>
            <w:tcBorders>
              <w:top w:val="nil"/>
              <w:left w:val="nil"/>
              <w:bottom w:val="single" w:color="000000" w:sz="4" w:space="0"/>
              <w:right w:val="single" w:color="000000" w:sz="4" w:space="0"/>
            </w:tcBorders>
            <w:tcMar>
              <w:top w:w="0" w:type="dxa"/>
              <w:left w:w="90" w:type="dxa"/>
              <w:bottom w:w="0" w:type="dxa"/>
              <w:right w:w="90" w:type="dxa"/>
            </w:tcMar>
            <w:vAlign w:val="top"/>
          </w:tcPr>
          <w:p w14:paraId="2CAB3788">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1（固定）</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CC7F20">
            <w:pPr>
              <w:pStyle w:val="10"/>
              <w:spacing w:line="360" w:lineRule="auto"/>
              <w:jc w:val="center"/>
              <w:rPr>
                <w:rFonts w:hint="eastAsia" w:asciiTheme="minorEastAsia" w:hAnsiTheme="minorEastAsia" w:eastAsiaTheme="minorEastAsia" w:cstheme="minorEastAsia"/>
                <w:color w:val="auto"/>
                <w:sz w:val="24"/>
                <w:szCs w:val="24"/>
              </w:rPr>
            </w:pPr>
          </w:p>
        </w:tc>
      </w:tr>
      <w:tr w14:paraId="2A6E04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11BBDD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2010" w:type="dxa"/>
            <w:tcBorders>
              <w:top w:val="nil"/>
              <w:left w:val="nil"/>
              <w:bottom w:val="single" w:color="000000" w:sz="4" w:space="0"/>
              <w:right w:val="single" w:color="000000" w:sz="4" w:space="0"/>
            </w:tcBorders>
            <w:tcMar>
              <w:top w:w="0" w:type="dxa"/>
              <w:left w:w="90" w:type="dxa"/>
              <w:bottom w:w="0" w:type="dxa"/>
              <w:right w:w="90" w:type="dxa"/>
            </w:tcMar>
            <w:vAlign w:val="top"/>
          </w:tcPr>
          <w:p w14:paraId="090900F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728" w:type="dxa"/>
            <w:tcBorders>
              <w:top w:val="nil"/>
              <w:left w:val="nil"/>
              <w:bottom w:val="single" w:color="000000" w:sz="4" w:space="0"/>
              <w:right w:val="single" w:color="000000" w:sz="4" w:space="0"/>
            </w:tcBorders>
            <w:tcMar>
              <w:top w:w="0" w:type="dxa"/>
              <w:left w:w="90" w:type="dxa"/>
              <w:bottom w:w="0" w:type="dxa"/>
              <w:right w:w="90" w:type="dxa"/>
            </w:tcMar>
            <w:vAlign w:val="top"/>
          </w:tcPr>
          <w:p w14:paraId="2FE7154B">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100M</w:t>
            </w:r>
          </w:p>
        </w:tc>
        <w:tc>
          <w:tcPr>
            <w:tcW w:w="1281" w:type="dxa"/>
            <w:tcBorders>
              <w:top w:val="nil"/>
              <w:left w:val="nil"/>
              <w:bottom w:val="single" w:color="000000" w:sz="4" w:space="0"/>
              <w:right w:val="single" w:color="000000" w:sz="4" w:space="0"/>
            </w:tcBorders>
            <w:tcMar>
              <w:top w:w="0" w:type="dxa"/>
              <w:left w:w="90" w:type="dxa"/>
              <w:bottom w:w="0" w:type="dxa"/>
              <w:right w:w="90" w:type="dxa"/>
            </w:tcMar>
            <w:vAlign w:val="top"/>
          </w:tcPr>
          <w:p w14:paraId="78A0D2A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RJ45</w:t>
            </w:r>
          </w:p>
        </w:tc>
        <w:tc>
          <w:tcPr>
            <w:tcW w:w="2048" w:type="dxa"/>
            <w:tcBorders>
              <w:top w:val="nil"/>
              <w:left w:val="nil"/>
              <w:bottom w:val="single" w:color="000000" w:sz="4" w:space="0"/>
              <w:right w:val="single" w:color="000000" w:sz="4" w:space="0"/>
            </w:tcBorders>
            <w:tcMar>
              <w:top w:w="0" w:type="dxa"/>
              <w:left w:w="90" w:type="dxa"/>
              <w:bottom w:w="0" w:type="dxa"/>
              <w:right w:w="90" w:type="dxa"/>
            </w:tcMar>
            <w:vAlign w:val="top"/>
          </w:tcPr>
          <w:p w14:paraId="1BDB99FB">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3（固定）</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154831">
            <w:pPr>
              <w:pStyle w:val="10"/>
              <w:spacing w:line="360" w:lineRule="auto"/>
              <w:jc w:val="center"/>
              <w:rPr>
                <w:rFonts w:hint="eastAsia" w:asciiTheme="minorEastAsia" w:hAnsiTheme="minorEastAsia" w:eastAsiaTheme="minorEastAsia" w:cstheme="minorEastAsia"/>
                <w:color w:val="auto"/>
                <w:sz w:val="24"/>
                <w:szCs w:val="24"/>
              </w:rPr>
            </w:pPr>
          </w:p>
        </w:tc>
      </w:tr>
      <w:tr w14:paraId="5F1F43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50899BD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2010" w:type="dxa"/>
            <w:tcBorders>
              <w:top w:val="nil"/>
              <w:left w:val="nil"/>
              <w:bottom w:val="single" w:color="000000" w:sz="4" w:space="0"/>
              <w:right w:val="single" w:color="000000" w:sz="4" w:space="0"/>
            </w:tcBorders>
            <w:tcMar>
              <w:top w:w="0" w:type="dxa"/>
              <w:left w:w="90" w:type="dxa"/>
              <w:bottom w:w="0" w:type="dxa"/>
              <w:right w:w="90" w:type="dxa"/>
            </w:tcMar>
            <w:vAlign w:val="top"/>
          </w:tcPr>
          <w:p w14:paraId="7481F59F">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冶山路10号</w:t>
            </w:r>
          </w:p>
        </w:tc>
        <w:tc>
          <w:tcPr>
            <w:tcW w:w="728" w:type="dxa"/>
            <w:tcBorders>
              <w:top w:val="nil"/>
              <w:left w:val="nil"/>
              <w:bottom w:val="single" w:color="000000" w:sz="4" w:space="0"/>
              <w:right w:val="single" w:color="000000" w:sz="4" w:space="0"/>
            </w:tcBorders>
            <w:tcMar>
              <w:top w:w="0" w:type="dxa"/>
              <w:left w:w="90" w:type="dxa"/>
              <w:bottom w:w="0" w:type="dxa"/>
              <w:right w:w="90" w:type="dxa"/>
            </w:tcMar>
            <w:vAlign w:val="top"/>
          </w:tcPr>
          <w:p w14:paraId="06F4860E">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100M</w:t>
            </w:r>
          </w:p>
        </w:tc>
        <w:tc>
          <w:tcPr>
            <w:tcW w:w="1281" w:type="dxa"/>
            <w:tcBorders>
              <w:top w:val="nil"/>
              <w:left w:val="nil"/>
              <w:bottom w:val="single" w:color="000000" w:sz="4" w:space="0"/>
              <w:right w:val="single" w:color="000000" w:sz="4" w:space="0"/>
            </w:tcBorders>
            <w:tcMar>
              <w:top w:w="0" w:type="dxa"/>
              <w:left w:w="90" w:type="dxa"/>
              <w:bottom w:w="0" w:type="dxa"/>
              <w:right w:w="90" w:type="dxa"/>
            </w:tcMar>
            <w:vAlign w:val="top"/>
          </w:tcPr>
          <w:p w14:paraId="753AC954">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RJ45</w:t>
            </w:r>
          </w:p>
        </w:tc>
        <w:tc>
          <w:tcPr>
            <w:tcW w:w="2048" w:type="dxa"/>
            <w:tcBorders>
              <w:top w:val="nil"/>
              <w:left w:val="nil"/>
              <w:bottom w:val="single" w:color="000000" w:sz="4" w:space="0"/>
              <w:right w:val="single" w:color="000000" w:sz="4" w:space="0"/>
            </w:tcBorders>
            <w:tcMar>
              <w:top w:w="0" w:type="dxa"/>
              <w:left w:w="90" w:type="dxa"/>
              <w:bottom w:w="0" w:type="dxa"/>
              <w:right w:w="90" w:type="dxa"/>
            </w:tcMar>
            <w:vAlign w:val="top"/>
          </w:tcPr>
          <w:p w14:paraId="041232C4">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1（动态）</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E52CFD">
            <w:pPr>
              <w:pStyle w:val="10"/>
              <w:spacing w:line="360" w:lineRule="auto"/>
              <w:jc w:val="center"/>
              <w:rPr>
                <w:rFonts w:hint="eastAsia" w:asciiTheme="minorEastAsia" w:hAnsiTheme="minorEastAsia" w:eastAsiaTheme="minorEastAsia" w:cstheme="minorEastAsia"/>
                <w:color w:val="auto"/>
                <w:sz w:val="24"/>
                <w:szCs w:val="24"/>
              </w:rPr>
            </w:pPr>
          </w:p>
        </w:tc>
      </w:tr>
      <w:tr w14:paraId="623759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762224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2010" w:type="dxa"/>
            <w:tcBorders>
              <w:top w:val="nil"/>
              <w:left w:val="nil"/>
              <w:bottom w:val="single" w:color="000000" w:sz="4" w:space="0"/>
              <w:right w:val="single" w:color="000000" w:sz="4" w:space="0"/>
            </w:tcBorders>
            <w:tcMar>
              <w:top w:w="0" w:type="dxa"/>
              <w:left w:w="90" w:type="dxa"/>
              <w:bottom w:w="0" w:type="dxa"/>
              <w:right w:w="90" w:type="dxa"/>
            </w:tcMar>
            <w:vAlign w:val="top"/>
          </w:tcPr>
          <w:p w14:paraId="0D4A8E3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w:t>
            </w:r>
          </w:p>
        </w:tc>
        <w:tc>
          <w:tcPr>
            <w:tcW w:w="728" w:type="dxa"/>
            <w:tcBorders>
              <w:top w:val="nil"/>
              <w:left w:val="nil"/>
              <w:bottom w:val="single" w:color="000000" w:sz="4" w:space="0"/>
              <w:right w:val="single" w:color="000000" w:sz="4" w:space="0"/>
            </w:tcBorders>
            <w:tcMar>
              <w:top w:w="0" w:type="dxa"/>
              <w:left w:w="90" w:type="dxa"/>
              <w:bottom w:w="0" w:type="dxa"/>
              <w:right w:w="90" w:type="dxa"/>
            </w:tcMar>
            <w:vAlign w:val="top"/>
          </w:tcPr>
          <w:p w14:paraId="00DFF6A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100M</w:t>
            </w:r>
          </w:p>
        </w:tc>
        <w:tc>
          <w:tcPr>
            <w:tcW w:w="1281" w:type="dxa"/>
            <w:tcBorders>
              <w:top w:val="nil"/>
              <w:left w:val="nil"/>
              <w:bottom w:val="single" w:color="000000" w:sz="4" w:space="0"/>
              <w:right w:val="single" w:color="000000" w:sz="4" w:space="0"/>
            </w:tcBorders>
            <w:tcMar>
              <w:top w:w="0" w:type="dxa"/>
              <w:left w:w="90" w:type="dxa"/>
              <w:bottom w:w="0" w:type="dxa"/>
              <w:right w:w="90" w:type="dxa"/>
            </w:tcMar>
            <w:vAlign w:val="top"/>
          </w:tcPr>
          <w:p w14:paraId="17EFC1F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RJ45</w:t>
            </w:r>
          </w:p>
        </w:tc>
        <w:tc>
          <w:tcPr>
            <w:tcW w:w="2048" w:type="dxa"/>
            <w:tcBorders>
              <w:top w:val="nil"/>
              <w:left w:val="nil"/>
              <w:bottom w:val="single" w:color="000000" w:sz="4" w:space="0"/>
              <w:right w:val="single" w:color="000000" w:sz="4" w:space="0"/>
            </w:tcBorders>
            <w:tcMar>
              <w:top w:w="0" w:type="dxa"/>
              <w:left w:w="90" w:type="dxa"/>
              <w:bottom w:w="0" w:type="dxa"/>
              <w:right w:w="90" w:type="dxa"/>
            </w:tcMar>
            <w:vAlign w:val="top"/>
          </w:tcPr>
          <w:p w14:paraId="5E791E64">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1（动态）</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3F6475">
            <w:pPr>
              <w:pStyle w:val="10"/>
              <w:spacing w:line="360" w:lineRule="auto"/>
              <w:jc w:val="center"/>
              <w:rPr>
                <w:rFonts w:hint="eastAsia" w:asciiTheme="minorEastAsia" w:hAnsiTheme="minorEastAsia" w:eastAsiaTheme="minorEastAsia" w:cstheme="minorEastAsia"/>
                <w:color w:val="auto"/>
                <w:sz w:val="24"/>
                <w:szCs w:val="24"/>
              </w:rPr>
            </w:pPr>
          </w:p>
        </w:tc>
      </w:tr>
      <w:tr w14:paraId="09D166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1A3740B">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2010" w:type="dxa"/>
            <w:tcBorders>
              <w:top w:val="nil"/>
              <w:left w:val="nil"/>
              <w:bottom w:val="single" w:color="000000" w:sz="4" w:space="0"/>
              <w:right w:val="single" w:color="000000" w:sz="4" w:space="0"/>
            </w:tcBorders>
            <w:tcMar>
              <w:top w:w="0" w:type="dxa"/>
              <w:left w:w="90" w:type="dxa"/>
              <w:bottom w:w="0" w:type="dxa"/>
              <w:right w:w="90" w:type="dxa"/>
            </w:tcMar>
            <w:vAlign w:val="top"/>
          </w:tcPr>
          <w:p w14:paraId="6BBB032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w:t>
            </w:r>
          </w:p>
        </w:tc>
        <w:tc>
          <w:tcPr>
            <w:tcW w:w="728" w:type="dxa"/>
            <w:tcBorders>
              <w:top w:val="nil"/>
              <w:left w:val="nil"/>
              <w:bottom w:val="single" w:color="000000" w:sz="4" w:space="0"/>
              <w:right w:val="single" w:color="000000" w:sz="4" w:space="0"/>
            </w:tcBorders>
            <w:tcMar>
              <w:top w:w="0" w:type="dxa"/>
              <w:left w:w="90" w:type="dxa"/>
              <w:bottom w:w="0" w:type="dxa"/>
              <w:right w:w="90" w:type="dxa"/>
            </w:tcMar>
            <w:vAlign w:val="top"/>
          </w:tcPr>
          <w:p w14:paraId="20562AC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100M</w:t>
            </w:r>
          </w:p>
        </w:tc>
        <w:tc>
          <w:tcPr>
            <w:tcW w:w="1281" w:type="dxa"/>
            <w:tcBorders>
              <w:top w:val="nil"/>
              <w:left w:val="nil"/>
              <w:bottom w:val="single" w:color="000000" w:sz="4" w:space="0"/>
              <w:right w:val="single" w:color="000000" w:sz="4" w:space="0"/>
            </w:tcBorders>
            <w:tcMar>
              <w:top w:w="0" w:type="dxa"/>
              <w:left w:w="90" w:type="dxa"/>
              <w:bottom w:w="0" w:type="dxa"/>
              <w:right w:w="90" w:type="dxa"/>
            </w:tcMar>
            <w:vAlign w:val="top"/>
          </w:tcPr>
          <w:p w14:paraId="764536DA">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RJ45</w:t>
            </w:r>
          </w:p>
        </w:tc>
        <w:tc>
          <w:tcPr>
            <w:tcW w:w="2048" w:type="dxa"/>
            <w:tcBorders>
              <w:top w:val="nil"/>
              <w:left w:val="nil"/>
              <w:bottom w:val="single" w:color="000000" w:sz="4" w:space="0"/>
              <w:right w:val="single" w:color="000000" w:sz="4" w:space="0"/>
            </w:tcBorders>
            <w:tcMar>
              <w:top w:w="0" w:type="dxa"/>
              <w:left w:w="90" w:type="dxa"/>
              <w:bottom w:w="0" w:type="dxa"/>
              <w:right w:w="90" w:type="dxa"/>
            </w:tcMar>
            <w:vAlign w:val="top"/>
          </w:tcPr>
          <w:p w14:paraId="2BEFDE5E">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1（固定）</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F0E592">
            <w:pPr>
              <w:pStyle w:val="10"/>
              <w:spacing w:line="360" w:lineRule="auto"/>
              <w:jc w:val="center"/>
              <w:rPr>
                <w:rFonts w:hint="eastAsia" w:asciiTheme="minorEastAsia" w:hAnsiTheme="minorEastAsia" w:eastAsiaTheme="minorEastAsia" w:cstheme="minorEastAsia"/>
                <w:color w:val="auto"/>
                <w:sz w:val="24"/>
                <w:szCs w:val="24"/>
              </w:rPr>
            </w:pPr>
          </w:p>
        </w:tc>
      </w:tr>
      <w:tr w14:paraId="359942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26ABDFB">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2010" w:type="dxa"/>
            <w:tcBorders>
              <w:top w:val="nil"/>
              <w:left w:val="nil"/>
              <w:bottom w:val="single" w:color="000000" w:sz="4" w:space="0"/>
              <w:right w:val="single" w:color="000000" w:sz="4" w:space="0"/>
            </w:tcBorders>
            <w:tcMar>
              <w:top w:w="0" w:type="dxa"/>
              <w:left w:w="90" w:type="dxa"/>
              <w:bottom w:w="0" w:type="dxa"/>
              <w:right w:w="90" w:type="dxa"/>
            </w:tcMar>
            <w:vAlign w:val="top"/>
          </w:tcPr>
          <w:p w14:paraId="357B1D8D">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抗DDOS攻击服务</w:t>
            </w:r>
          </w:p>
        </w:tc>
        <w:tc>
          <w:tcPr>
            <w:tcW w:w="728" w:type="dxa"/>
            <w:tcBorders>
              <w:top w:val="nil"/>
              <w:left w:val="nil"/>
              <w:bottom w:val="single" w:color="000000" w:sz="4" w:space="0"/>
              <w:right w:val="single" w:color="000000" w:sz="4" w:space="0"/>
            </w:tcBorders>
            <w:tcMar>
              <w:top w:w="0" w:type="dxa"/>
              <w:left w:w="90" w:type="dxa"/>
              <w:bottom w:w="0" w:type="dxa"/>
              <w:right w:w="90" w:type="dxa"/>
            </w:tcMar>
            <w:vAlign w:val="top"/>
          </w:tcPr>
          <w:p w14:paraId="5265DC2E">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2G</w:t>
            </w:r>
          </w:p>
        </w:tc>
        <w:tc>
          <w:tcPr>
            <w:tcW w:w="1281" w:type="dxa"/>
            <w:tcBorders>
              <w:top w:val="nil"/>
              <w:left w:val="nil"/>
              <w:bottom w:val="single" w:color="000000" w:sz="4" w:space="0"/>
              <w:right w:val="single" w:color="000000" w:sz="4" w:space="0"/>
            </w:tcBorders>
            <w:tcMar>
              <w:top w:w="0" w:type="dxa"/>
              <w:left w:w="90" w:type="dxa"/>
              <w:bottom w:w="0" w:type="dxa"/>
              <w:right w:w="90" w:type="dxa"/>
            </w:tcMar>
            <w:vAlign w:val="top"/>
          </w:tcPr>
          <w:p w14:paraId="4BCED30A">
            <w:pPr>
              <w:pStyle w:val="10"/>
              <w:spacing w:line="360" w:lineRule="auto"/>
              <w:jc w:val="center"/>
              <w:rPr>
                <w:rFonts w:hint="eastAsia" w:asciiTheme="minorEastAsia" w:hAnsiTheme="minorEastAsia" w:eastAsiaTheme="minorEastAsia" w:cstheme="minorEastAsia"/>
                <w:color w:val="auto"/>
                <w:sz w:val="24"/>
                <w:szCs w:val="24"/>
              </w:rPr>
            </w:pPr>
          </w:p>
        </w:tc>
        <w:tc>
          <w:tcPr>
            <w:tcW w:w="2048" w:type="dxa"/>
            <w:tcBorders>
              <w:top w:val="nil"/>
              <w:left w:val="nil"/>
              <w:bottom w:val="single" w:color="000000" w:sz="4" w:space="0"/>
              <w:right w:val="single" w:color="000000" w:sz="4" w:space="0"/>
            </w:tcBorders>
            <w:tcMar>
              <w:top w:w="0" w:type="dxa"/>
              <w:left w:w="90" w:type="dxa"/>
              <w:bottom w:w="0" w:type="dxa"/>
              <w:right w:w="90" w:type="dxa"/>
            </w:tcMar>
            <w:vAlign w:val="top"/>
          </w:tcPr>
          <w:p w14:paraId="4464CA7A">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1（配置64个IP清洗地址）</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6B8C49">
            <w:pPr>
              <w:pStyle w:val="10"/>
              <w:spacing w:line="360" w:lineRule="auto"/>
              <w:jc w:val="center"/>
              <w:rPr>
                <w:rFonts w:hint="eastAsia" w:asciiTheme="minorEastAsia" w:hAnsiTheme="minorEastAsia" w:eastAsiaTheme="minorEastAsia" w:cstheme="minorEastAsia"/>
                <w:color w:val="auto"/>
                <w:sz w:val="24"/>
                <w:szCs w:val="24"/>
              </w:rPr>
            </w:pPr>
          </w:p>
        </w:tc>
      </w:tr>
    </w:tbl>
    <w:p w14:paraId="47C6F2FC">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（4）其他</w:t>
      </w:r>
    </w:p>
    <w:tbl>
      <w:tblPr>
        <w:tblStyle w:val="6"/>
        <w:tblW w:w="827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78"/>
        <w:gridCol w:w="2035"/>
        <w:gridCol w:w="1822"/>
        <w:gridCol w:w="1130"/>
        <w:gridCol w:w="1030"/>
        <w:gridCol w:w="1683"/>
      </w:tblGrid>
      <w:tr w14:paraId="37667F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vAlign w:val="top"/>
          </w:tcPr>
          <w:p w14:paraId="724B23B6">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2035"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77D17EE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本端</w:t>
            </w:r>
          </w:p>
        </w:tc>
        <w:tc>
          <w:tcPr>
            <w:tcW w:w="1822"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7F06E6E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速率</w:t>
            </w:r>
          </w:p>
        </w:tc>
        <w:tc>
          <w:tcPr>
            <w:tcW w:w="1130"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0AF5BC7A">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接口要求</w:t>
            </w:r>
          </w:p>
        </w:tc>
        <w:tc>
          <w:tcPr>
            <w:tcW w:w="1030"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65C479F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1683"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31B45C6A">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10F3FB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A7D1C3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035" w:type="dxa"/>
            <w:tcBorders>
              <w:top w:val="nil"/>
              <w:left w:val="nil"/>
              <w:bottom w:val="single" w:color="000000" w:sz="4" w:space="0"/>
              <w:right w:val="single" w:color="000000" w:sz="4" w:space="0"/>
            </w:tcBorders>
            <w:tcMar>
              <w:top w:w="0" w:type="dxa"/>
              <w:left w:w="90" w:type="dxa"/>
              <w:bottom w:w="0" w:type="dxa"/>
              <w:right w:w="90" w:type="dxa"/>
            </w:tcMar>
            <w:vAlign w:val="top"/>
          </w:tcPr>
          <w:p w14:paraId="23E92FC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822" w:type="dxa"/>
            <w:tcBorders>
              <w:top w:val="nil"/>
              <w:left w:val="nil"/>
              <w:bottom w:val="single" w:color="000000" w:sz="4" w:space="0"/>
              <w:right w:val="single" w:color="000000" w:sz="4" w:space="0"/>
            </w:tcBorders>
            <w:tcMar>
              <w:top w:w="0" w:type="dxa"/>
              <w:left w:w="90" w:type="dxa"/>
              <w:bottom w:w="0" w:type="dxa"/>
              <w:right w:w="90" w:type="dxa"/>
            </w:tcMar>
            <w:vAlign w:val="top"/>
          </w:tcPr>
          <w:p w14:paraId="33B661E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10M MPLS VPN</w:t>
            </w:r>
          </w:p>
        </w:tc>
        <w:tc>
          <w:tcPr>
            <w:tcW w:w="1130" w:type="dxa"/>
            <w:tcBorders>
              <w:top w:val="nil"/>
              <w:left w:val="nil"/>
              <w:bottom w:val="single" w:color="000000" w:sz="4" w:space="0"/>
              <w:right w:val="single" w:color="000000" w:sz="4" w:space="0"/>
            </w:tcBorders>
            <w:tcMar>
              <w:top w:w="0" w:type="dxa"/>
              <w:left w:w="90" w:type="dxa"/>
              <w:bottom w:w="0" w:type="dxa"/>
              <w:right w:w="90" w:type="dxa"/>
            </w:tcMar>
            <w:vAlign w:val="top"/>
          </w:tcPr>
          <w:p w14:paraId="78489D8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RJ45</w:t>
            </w:r>
          </w:p>
        </w:tc>
        <w:tc>
          <w:tcPr>
            <w:tcW w:w="1030" w:type="dxa"/>
            <w:tcBorders>
              <w:top w:val="nil"/>
              <w:left w:val="nil"/>
              <w:bottom w:val="single" w:color="000000" w:sz="4" w:space="0"/>
              <w:right w:val="single" w:color="000000" w:sz="4" w:space="0"/>
            </w:tcBorders>
            <w:tcMar>
              <w:top w:w="0" w:type="dxa"/>
              <w:left w:w="90" w:type="dxa"/>
              <w:bottom w:w="0" w:type="dxa"/>
              <w:right w:w="90" w:type="dxa"/>
            </w:tcMar>
            <w:vAlign w:val="top"/>
          </w:tcPr>
          <w:p w14:paraId="3C65A7F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683" w:type="dxa"/>
            <w:tcBorders>
              <w:top w:val="nil"/>
              <w:left w:val="nil"/>
              <w:bottom w:val="single" w:color="000000" w:sz="4" w:space="0"/>
              <w:right w:val="single" w:color="000000" w:sz="4" w:space="0"/>
            </w:tcBorders>
            <w:tcMar>
              <w:top w:w="0" w:type="dxa"/>
              <w:left w:w="90" w:type="dxa"/>
              <w:bottom w:w="0" w:type="dxa"/>
              <w:right w:w="90" w:type="dxa"/>
            </w:tcMar>
            <w:vAlign w:val="top"/>
          </w:tcPr>
          <w:p w14:paraId="77E1C81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96110平台使用</w:t>
            </w:r>
          </w:p>
        </w:tc>
      </w:tr>
      <w:tr w14:paraId="7C96FD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9D31B4A">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2035" w:type="dxa"/>
            <w:tcBorders>
              <w:top w:val="nil"/>
              <w:left w:val="nil"/>
              <w:bottom w:val="single" w:color="000000" w:sz="4" w:space="0"/>
              <w:right w:val="single" w:color="000000" w:sz="4" w:space="0"/>
            </w:tcBorders>
            <w:tcMar>
              <w:top w:w="0" w:type="dxa"/>
              <w:left w:w="90" w:type="dxa"/>
              <w:bottom w:w="0" w:type="dxa"/>
              <w:right w:w="90" w:type="dxa"/>
            </w:tcMar>
            <w:vAlign w:val="top"/>
          </w:tcPr>
          <w:p w14:paraId="4596186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822" w:type="dxa"/>
            <w:tcBorders>
              <w:top w:val="nil"/>
              <w:left w:val="nil"/>
              <w:bottom w:val="single" w:color="000000" w:sz="4" w:space="0"/>
              <w:right w:val="single" w:color="000000" w:sz="4" w:space="0"/>
            </w:tcBorders>
            <w:tcMar>
              <w:top w:w="0" w:type="dxa"/>
              <w:left w:w="90" w:type="dxa"/>
              <w:bottom w:w="0" w:type="dxa"/>
              <w:right w:w="90" w:type="dxa"/>
            </w:tcMar>
            <w:vAlign w:val="top"/>
          </w:tcPr>
          <w:p w14:paraId="7839485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IVR</w:t>
            </w:r>
          </w:p>
        </w:tc>
        <w:tc>
          <w:tcPr>
            <w:tcW w:w="1130" w:type="dxa"/>
            <w:tcBorders>
              <w:top w:val="nil"/>
              <w:left w:val="nil"/>
              <w:bottom w:val="single" w:color="000000" w:sz="4" w:space="0"/>
              <w:right w:val="single" w:color="000000" w:sz="4" w:space="0"/>
            </w:tcBorders>
            <w:tcMar>
              <w:top w:w="0" w:type="dxa"/>
              <w:left w:w="90" w:type="dxa"/>
              <w:bottom w:w="0" w:type="dxa"/>
              <w:right w:w="90" w:type="dxa"/>
            </w:tcMar>
            <w:vAlign w:val="top"/>
          </w:tcPr>
          <w:p w14:paraId="623B9A89">
            <w:pPr>
              <w:pStyle w:val="10"/>
              <w:spacing w:line="360" w:lineRule="auto"/>
              <w:jc w:val="both"/>
              <w:rPr>
                <w:rFonts w:hint="eastAsia" w:asciiTheme="minorEastAsia" w:hAnsiTheme="minorEastAsia" w:eastAsiaTheme="minorEastAsia" w:cstheme="minorEastAsia"/>
                <w:color w:val="auto"/>
                <w:sz w:val="24"/>
                <w:szCs w:val="24"/>
              </w:rPr>
            </w:pPr>
          </w:p>
        </w:tc>
        <w:tc>
          <w:tcPr>
            <w:tcW w:w="1030" w:type="dxa"/>
            <w:tcBorders>
              <w:top w:val="nil"/>
              <w:left w:val="nil"/>
              <w:bottom w:val="single" w:color="000000" w:sz="4" w:space="0"/>
              <w:right w:val="single" w:color="000000" w:sz="4" w:space="0"/>
            </w:tcBorders>
            <w:tcMar>
              <w:top w:w="0" w:type="dxa"/>
              <w:left w:w="90" w:type="dxa"/>
              <w:bottom w:w="0" w:type="dxa"/>
              <w:right w:w="90" w:type="dxa"/>
            </w:tcMar>
            <w:vAlign w:val="top"/>
          </w:tcPr>
          <w:p w14:paraId="3FDD064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60路</w:t>
            </w:r>
          </w:p>
        </w:tc>
        <w:tc>
          <w:tcPr>
            <w:tcW w:w="1683" w:type="dxa"/>
            <w:tcBorders>
              <w:top w:val="nil"/>
              <w:left w:val="nil"/>
              <w:bottom w:val="single" w:color="000000" w:sz="4" w:space="0"/>
              <w:right w:val="single" w:color="000000" w:sz="4" w:space="0"/>
            </w:tcBorders>
            <w:tcMar>
              <w:top w:w="0" w:type="dxa"/>
              <w:left w:w="90" w:type="dxa"/>
              <w:bottom w:w="0" w:type="dxa"/>
              <w:right w:w="90" w:type="dxa"/>
            </w:tcMar>
            <w:vAlign w:val="top"/>
          </w:tcPr>
          <w:p w14:paraId="790388A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96110平台使用</w:t>
            </w:r>
          </w:p>
        </w:tc>
      </w:tr>
      <w:tr w14:paraId="173481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AACC6D0">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2035" w:type="dxa"/>
            <w:tcBorders>
              <w:top w:val="nil"/>
              <w:left w:val="nil"/>
              <w:bottom w:val="single" w:color="000000" w:sz="4" w:space="0"/>
              <w:right w:val="single" w:color="000000" w:sz="4" w:space="0"/>
            </w:tcBorders>
            <w:tcMar>
              <w:top w:w="0" w:type="dxa"/>
              <w:left w:w="90" w:type="dxa"/>
              <w:bottom w:w="0" w:type="dxa"/>
              <w:right w:w="90" w:type="dxa"/>
            </w:tcMar>
            <w:vAlign w:val="top"/>
          </w:tcPr>
          <w:p w14:paraId="2F31398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省公安厅机房（接入电信全球眼平台）</w:t>
            </w:r>
          </w:p>
        </w:tc>
        <w:tc>
          <w:tcPr>
            <w:tcW w:w="1822" w:type="dxa"/>
            <w:tcBorders>
              <w:top w:val="nil"/>
              <w:left w:val="nil"/>
              <w:bottom w:val="single" w:color="000000" w:sz="4" w:space="0"/>
              <w:right w:val="single" w:color="000000" w:sz="4" w:space="0"/>
            </w:tcBorders>
            <w:tcMar>
              <w:top w:w="0" w:type="dxa"/>
              <w:left w:w="90" w:type="dxa"/>
              <w:bottom w:w="0" w:type="dxa"/>
              <w:right w:w="90" w:type="dxa"/>
            </w:tcMar>
            <w:vAlign w:val="top"/>
          </w:tcPr>
          <w:p w14:paraId="4B880BC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300M MPLS VPN</w:t>
            </w:r>
          </w:p>
        </w:tc>
        <w:tc>
          <w:tcPr>
            <w:tcW w:w="1130" w:type="dxa"/>
            <w:tcBorders>
              <w:top w:val="nil"/>
              <w:left w:val="nil"/>
              <w:bottom w:val="single" w:color="000000" w:sz="4" w:space="0"/>
              <w:right w:val="single" w:color="000000" w:sz="4" w:space="0"/>
            </w:tcBorders>
            <w:tcMar>
              <w:top w:w="0" w:type="dxa"/>
              <w:left w:w="90" w:type="dxa"/>
              <w:bottom w:w="0" w:type="dxa"/>
              <w:right w:w="90" w:type="dxa"/>
            </w:tcMar>
            <w:vAlign w:val="top"/>
          </w:tcPr>
          <w:p w14:paraId="53B3D7D7">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RJ45</w:t>
            </w:r>
          </w:p>
        </w:tc>
        <w:tc>
          <w:tcPr>
            <w:tcW w:w="1030" w:type="dxa"/>
            <w:tcBorders>
              <w:top w:val="nil"/>
              <w:left w:val="nil"/>
              <w:bottom w:val="single" w:color="000000" w:sz="4" w:space="0"/>
              <w:right w:val="single" w:color="000000" w:sz="4" w:space="0"/>
            </w:tcBorders>
            <w:tcMar>
              <w:top w:w="0" w:type="dxa"/>
              <w:left w:w="90" w:type="dxa"/>
              <w:bottom w:w="0" w:type="dxa"/>
              <w:right w:w="90" w:type="dxa"/>
            </w:tcMar>
            <w:vAlign w:val="top"/>
          </w:tcPr>
          <w:p w14:paraId="6F304F7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683" w:type="dxa"/>
            <w:tcBorders>
              <w:top w:val="nil"/>
              <w:left w:val="nil"/>
              <w:bottom w:val="single" w:color="000000" w:sz="4" w:space="0"/>
              <w:right w:val="single" w:color="000000" w:sz="4" w:space="0"/>
            </w:tcBorders>
            <w:tcMar>
              <w:top w:w="0" w:type="dxa"/>
              <w:left w:w="90" w:type="dxa"/>
              <w:bottom w:w="0" w:type="dxa"/>
              <w:right w:w="90" w:type="dxa"/>
            </w:tcMar>
            <w:vAlign w:val="top"/>
          </w:tcPr>
          <w:p w14:paraId="095716E3">
            <w:pPr>
              <w:pStyle w:val="10"/>
              <w:spacing w:line="360" w:lineRule="auto"/>
              <w:jc w:val="both"/>
              <w:rPr>
                <w:rFonts w:hint="eastAsia" w:asciiTheme="minorEastAsia" w:hAnsiTheme="minorEastAsia" w:eastAsiaTheme="minorEastAsia" w:cstheme="minorEastAsia"/>
                <w:color w:val="auto"/>
                <w:sz w:val="24"/>
                <w:szCs w:val="24"/>
              </w:rPr>
            </w:pPr>
          </w:p>
        </w:tc>
      </w:tr>
      <w:tr w14:paraId="0ABAB4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63C4304">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2035" w:type="dxa"/>
            <w:tcBorders>
              <w:top w:val="nil"/>
              <w:left w:val="nil"/>
              <w:bottom w:val="single" w:color="000000" w:sz="4" w:space="0"/>
              <w:right w:val="single" w:color="000000" w:sz="4" w:space="0"/>
            </w:tcBorders>
            <w:tcMar>
              <w:top w:w="0" w:type="dxa"/>
              <w:left w:w="90" w:type="dxa"/>
              <w:bottom w:w="0" w:type="dxa"/>
              <w:right w:w="90" w:type="dxa"/>
            </w:tcMar>
            <w:vAlign w:val="top"/>
          </w:tcPr>
          <w:p w14:paraId="67C637D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822" w:type="dxa"/>
            <w:tcBorders>
              <w:top w:val="nil"/>
              <w:left w:val="nil"/>
              <w:bottom w:val="single" w:color="000000" w:sz="4" w:space="0"/>
              <w:right w:val="single" w:color="000000" w:sz="4" w:space="0"/>
            </w:tcBorders>
            <w:tcMar>
              <w:top w:w="0" w:type="dxa"/>
              <w:left w:w="90" w:type="dxa"/>
              <w:bottom w:w="0" w:type="dxa"/>
              <w:right w:w="90" w:type="dxa"/>
            </w:tcMar>
            <w:vAlign w:val="top"/>
          </w:tcPr>
          <w:p w14:paraId="30DCAFC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政务外网</w:t>
            </w:r>
          </w:p>
        </w:tc>
        <w:tc>
          <w:tcPr>
            <w:tcW w:w="1130" w:type="dxa"/>
            <w:tcBorders>
              <w:top w:val="nil"/>
              <w:left w:val="nil"/>
              <w:bottom w:val="single" w:color="000000" w:sz="4" w:space="0"/>
              <w:right w:val="single" w:color="000000" w:sz="4" w:space="0"/>
            </w:tcBorders>
            <w:tcMar>
              <w:top w:w="0" w:type="dxa"/>
              <w:left w:w="90" w:type="dxa"/>
              <w:bottom w:w="0" w:type="dxa"/>
              <w:right w:w="90" w:type="dxa"/>
            </w:tcMar>
            <w:vAlign w:val="top"/>
          </w:tcPr>
          <w:p w14:paraId="148A5B0C">
            <w:pPr>
              <w:pStyle w:val="10"/>
              <w:spacing w:line="360" w:lineRule="auto"/>
              <w:jc w:val="both"/>
              <w:rPr>
                <w:rFonts w:hint="eastAsia" w:asciiTheme="minorEastAsia" w:hAnsiTheme="minorEastAsia" w:eastAsiaTheme="minorEastAsia" w:cstheme="minorEastAsia"/>
                <w:color w:val="auto"/>
                <w:sz w:val="24"/>
                <w:szCs w:val="24"/>
              </w:rPr>
            </w:pPr>
          </w:p>
        </w:tc>
        <w:tc>
          <w:tcPr>
            <w:tcW w:w="1030" w:type="dxa"/>
            <w:tcBorders>
              <w:top w:val="nil"/>
              <w:left w:val="nil"/>
              <w:bottom w:val="single" w:color="000000" w:sz="4" w:space="0"/>
              <w:right w:val="single" w:color="000000" w:sz="4" w:space="0"/>
            </w:tcBorders>
            <w:tcMar>
              <w:top w:w="0" w:type="dxa"/>
              <w:left w:w="90" w:type="dxa"/>
              <w:bottom w:w="0" w:type="dxa"/>
              <w:right w:w="90" w:type="dxa"/>
            </w:tcMar>
            <w:vAlign w:val="top"/>
          </w:tcPr>
          <w:p w14:paraId="1A2DA99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2路500M</w:t>
            </w:r>
          </w:p>
        </w:tc>
        <w:tc>
          <w:tcPr>
            <w:tcW w:w="1683" w:type="dxa"/>
            <w:tcBorders>
              <w:top w:val="nil"/>
              <w:left w:val="nil"/>
              <w:bottom w:val="single" w:color="000000" w:sz="4" w:space="0"/>
              <w:right w:val="single" w:color="000000" w:sz="4" w:space="0"/>
            </w:tcBorders>
            <w:tcMar>
              <w:top w:w="0" w:type="dxa"/>
              <w:left w:w="90" w:type="dxa"/>
              <w:bottom w:w="0" w:type="dxa"/>
              <w:right w:w="90" w:type="dxa"/>
            </w:tcMar>
            <w:vAlign w:val="top"/>
          </w:tcPr>
          <w:p w14:paraId="122E6324">
            <w:pPr>
              <w:pStyle w:val="10"/>
              <w:spacing w:line="360" w:lineRule="auto"/>
              <w:jc w:val="both"/>
              <w:rPr>
                <w:rFonts w:hint="eastAsia" w:asciiTheme="minorEastAsia" w:hAnsiTheme="minorEastAsia" w:eastAsiaTheme="minorEastAsia" w:cstheme="minorEastAsia"/>
                <w:color w:val="auto"/>
                <w:sz w:val="24"/>
                <w:szCs w:val="24"/>
              </w:rPr>
            </w:pPr>
          </w:p>
        </w:tc>
      </w:tr>
      <w:tr w14:paraId="669941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F450E2D">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2035" w:type="dxa"/>
            <w:tcBorders>
              <w:top w:val="nil"/>
              <w:left w:val="nil"/>
              <w:bottom w:val="single" w:color="000000" w:sz="4" w:space="0"/>
              <w:right w:val="single" w:color="000000" w:sz="4" w:space="0"/>
            </w:tcBorders>
            <w:tcMar>
              <w:top w:w="0" w:type="dxa"/>
              <w:left w:w="90" w:type="dxa"/>
              <w:bottom w:w="0" w:type="dxa"/>
              <w:right w:w="90" w:type="dxa"/>
            </w:tcMar>
            <w:vAlign w:val="top"/>
          </w:tcPr>
          <w:p w14:paraId="028A574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822" w:type="dxa"/>
            <w:tcBorders>
              <w:top w:val="nil"/>
              <w:left w:val="nil"/>
              <w:bottom w:val="single" w:color="000000" w:sz="4" w:space="0"/>
              <w:right w:val="single" w:color="000000" w:sz="4" w:space="0"/>
            </w:tcBorders>
            <w:tcMar>
              <w:top w:w="0" w:type="dxa"/>
              <w:left w:w="90" w:type="dxa"/>
              <w:bottom w:w="0" w:type="dxa"/>
              <w:right w:w="90" w:type="dxa"/>
            </w:tcMar>
            <w:vAlign w:val="top"/>
          </w:tcPr>
          <w:p w14:paraId="3670596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政务信息网</w:t>
            </w:r>
          </w:p>
        </w:tc>
        <w:tc>
          <w:tcPr>
            <w:tcW w:w="1130" w:type="dxa"/>
            <w:tcBorders>
              <w:top w:val="nil"/>
              <w:left w:val="nil"/>
              <w:bottom w:val="single" w:color="000000" w:sz="4" w:space="0"/>
              <w:right w:val="single" w:color="000000" w:sz="4" w:space="0"/>
            </w:tcBorders>
            <w:tcMar>
              <w:top w:w="0" w:type="dxa"/>
              <w:left w:w="90" w:type="dxa"/>
              <w:bottom w:w="0" w:type="dxa"/>
              <w:right w:w="90" w:type="dxa"/>
            </w:tcMar>
            <w:vAlign w:val="top"/>
          </w:tcPr>
          <w:p w14:paraId="278C587B">
            <w:pPr>
              <w:pStyle w:val="10"/>
              <w:spacing w:line="360" w:lineRule="auto"/>
              <w:jc w:val="both"/>
              <w:rPr>
                <w:rFonts w:hint="eastAsia" w:asciiTheme="minorEastAsia" w:hAnsiTheme="minorEastAsia" w:eastAsiaTheme="minorEastAsia" w:cstheme="minorEastAsia"/>
                <w:color w:val="auto"/>
                <w:sz w:val="24"/>
                <w:szCs w:val="24"/>
              </w:rPr>
            </w:pPr>
          </w:p>
        </w:tc>
        <w:tc>
          <w:tcPr>
            <w:tcW w:w="1030" w:type="dxa"/>
            <w:tcBorders>
              <w:top w:val="nil"/>
              <w:left w:val="nil"/>
              <w:bottom w:val="single" w:color="000000" w:sz="4" w:space="0"/>
              <w:right w:val="single" w:color="000000" w:sz="4" w:space="0"/>
            </w:tcBorders>
            <w:tcMar>
              <w:top w:w="0" w:type="dxa"/>
              <w:left w:w="90" w:type="dxa"/>
              <w:bottom w:w="0" w:type="dxa"/>
              <w:right w:w="90" w:type="dxa"/>
            </w:tcMar>
            <w:vAlign w:val="top"/>
          </w:tcPr>
          <w:p w14:paraId="56255ED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1路百兆</w:t>
            </w:r>
          </w:p>
        </w:tc>
        <w:tc>
          <w:tcPr>
            <w:tcW w:w="1683" w:type="dxa"/>
            <w:tcBorders>
              <w:top w:val="nil"/>
              <w:left w:val="nil"/>
              <w:bottom w:val="single" w:color="000000" w:sz="4" w:space="0"/>
              <w:right w:val="single" w:color="000000" w:sz="4" w:space="0"/>
            </w:tcBorders>
            <w:tcMar>
              <w:top w:w="0" w:type="dxa"/>
              <w:left w:w="90" w:type="dxa"/>
              <w:bottom w:w="0" w:type="dxa"/>
              <w:right w:w="90" w:type="dxa"/>
            </w:tcMar>
            <w:vAlign w:val="top"/>
          </w:tcPr>
          <w:p w14:paraId="7409B4A2">
            <w:pPr>
              <w:pStyle w:val="10"/>
              <w:spacing w:line="360" w:lineRule="auto"/>
              <w:jc w:val="both"/>
              <w:rPr>
                <w:rFonts w:hint="eastAsia" w:asciiTheme="minorEastAsia" w:hAnsiTheme="minorEastAsia" w:eastAsiaTheme="minorEastAsia" w:cstheme="minorEastAsia"/>
                <w:color w:val="auto"/>
                <w:sz w:val="24"/>
                <w:szCs w:val="24"/>
              </w:rPr>
            </w:pPr>
          </w:p>
        </w:tc>
      </w:tr>
      <w:tr w14:paraId="2DF119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10D183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2035" w:type="dxa"/>
            <w:tcBorders>
              <w:top w:val="nil"/>
              <w:left w:val="nil"/>
              <w:bottom w:val="single" w:color="000000" w:sz="4" w:space="0"/>
              <w:right w:val="single" w:color="000000" w:sz="4" w:space="0"/>
            </w:tcBorders>
            <w:tcMar>
              <w:top w:w="0" w:type="dxa"/>
              <w:left w:w="90" w:type="dxa"/>
              <w:bottom w:w="0" w:type="dxa"/>
              <w:right w:w="90" w:type="dxa"/>
            </w:tcMar>
            <w:vAlign w:val="top"/>
          </w:tcPr>
          <w:p w14:paraId="36F8ED2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822" w:type="dxa"/>
            <w:tcBorders>
              <w:top w:val="nil"/>
              <w:left w:val="nil"/>
              <w:bottom w:val="single" w:color="000000" w:sz="4" w:space="0"/>
              <w:right w:val="single" w:color="000000" w:sz="4" w:space="0"/>
            </w:tcBorders>
            <w:tcMar>
              <w:top w:w="0" w:type="dxa"/>
              <w:left w:w="90" w:type="dxa"/>
              <w:bottom w:w="0" w:type="dxa"/>
              <w:right w:w="90" w:type="dxa"/>
            </w:tcMar>
            <w:vAlign w:val="top"/>
          </w:tcPr>
          <w:p w14:paraId="4A93466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移动终端接入链路</w:t>
            </w:r>
          </w:p>
        </w:tc>
        <w:tc>
          <w:tcPr>
            <w:tcW w:w="1130" w:type="dxa"/>
            <w:tcBorders>
              <w:top w:val="nil"/>
              <w:left w:val="nil"/>
              <w:bottom w:val="single" w:color="000000" w:sz="4" w:space="0"/>
              <w:right w:val="single" w:color="000000" w:sz="4" w:space="0"/>
            </w:tcBorders>
            <w:tcMar>
              <w:top w:w="0" w:type="dxa"/>
              <w:left w:w="90" w:type="dxa"/>
              <w:bottom w:w="0" w:type="dxa"/>
              <w:right w:w="90" w:type="dxa"/>
            </w:tcMar>
            <w:vAlign w:val="top"/>
          </w:tcPr>
          <w:p w14:paraId="2AC8D1E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500M</w:t>
            </w:r>
          </w:p>
        </w:tc>
        <w:tc>
          <w:tcPr>
            <w:tcW w:w="1030" w:type="dxa"/>
            <w:tcBorders>
              <w:top w:val="nil"/>
              <w:left w:val="nil"/>
              <w:bottom w:val="single" w:color="000000" w:sz="4" w:space="0"/>
              <w:right w:val="single" w:color="000000" w:sz="4" w:space="0"/>
            </w:tcBorders>
            <w:tcMar>
              <w:top w:w="0" w:type="dxa"/>
              <w:left w:w="90" w:type="dxa"/>
              <w:bottom w:w="0" w:type="dxa"/>
              <w:right w:w="90" w:type="dxa"/>
            </w:tcMar>
            <w:vAlign w:val="top"/>
          </w:tcPr>
          <w:p w14:paraId="665E5C4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683" w:type="dxa"/>
            <w:tcBorders>
              <w:top w:val="nil"/>
              <w:left w:val="nil"/>
              <w:bottom w:val="single" w:color="000000" w:sz="4" w:space="0"/>
              <w:right w:val="single" w:color="000000" w:sz="4" w:space="0"/>
            </w:tcBorders>
            <w:tcMar>
              <w:top w:w="0" w:type="dxa"/>
              <w:left w:w="90" w:type="dxa"/>
              <w:bottom w:w="0" w:type="dxa"/>
              <w:right w:w="90" w:type="dxa"/>
            </w:tcMar>
            <w:vAlign w:val="top"/>
          </w:tcPr>
          <w:p w14:paraId="668F0FA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2条为一组，每组均为不同运营商备份线路</w:t>
            </w:r>
          </w:p>
        </w:tc>
      </w:tr>
      <w:tr w14:paraId="4A8924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EBE6FB3">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2035" w:type="dxa"/>
            <w:tcBorders>
              <w:top w:val="nil"/>
              <w:left w:val="nil"/>
              <w:bottom w:val="single" w:color="000000" w:sz="4" w:space="0"/>
              <w:right w:val="single" w:color="000000" w:sz="4" w:space="0"/>
            </w:tcBorders>
            <w:tcMar>
              <w:top w:w="0" w:type="dxa"/>
              <w:left w:w="90" w:type="dxa"/>
              <w:bottom w:w="0" w:type="dxa"/>
              <w:right w:w="90" w:type="dxa"/>
            </w:tcMar>
            <w:vAlign w:val="top"/>
          </w:tcPr>
          <w:p w14:paraId="195BF6C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运营商机房间链路</w:t>
            </w:r>
          </w:p>
        </w:tc>
        <w:tc>
          <w:tcPr>
            <w:tcW w:w="1822" w:type="dxa"/>
            <w:tcBorders>
              <w:top w:val="nil"/>
              <w:left w:val="nil"/>
              <w:bottom w:val="single" w:color="000000" w:sz="4" w:space="0"/>
              <w:right w:val="single" w:color="000000" w:sz="4" w:space="0"/>
            </w:tcBorders>
            <w:tcMar>
              <w:top w:w="0" w:type="dxa"/>
              <w:left w:w="90" w:type="dxa"/>
              <w:bottom w:w="0" w:type="dxa"/>
              <w:right w:w="90" w:type="dxa"/>
            </w:tcMar>
            <w:vAlign w:val="top"/>
          </w:tcPr>
          <w:p w14:paraId="5016944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100M</w:t>
            </w:r>
          </w:p>
        </w:tc>
        <w:tc>
          <w:tcPr>
            <w:tcW w:w="1130" w:type="dxa"/>
            <w:tcBorders>
              <w:top w:val="nil"/>
              <w:left w:val="nil"/>
              <w:bottom w:val="single" w:color="000000" w:sz="4" w:space="0"/>
              <w:right w:val="single" w:color="000000" w:sz="4" w:space="0"/>
            </w:tcBorders>
            <w:tcMar>
              <w:top w:w="0" w:type="dxa"/>
              <w:left w:w="90" w:type="dxa"/>
              <w:bottom w:w="0" w:type="dxa"/>
              <w:right w:w="90" w:type="dxa"/>
            </w:tcMar>
            <w:vAlign w:val="top"/>
          </w:tcPr>
          <w:p w14:paraId="4B8F1A8C">
            <w:pPr>
              <w:pStyle w:val="10"/>
              <w:spacing w:line="360" w:lineRule="auto"/>
              <w:jc w:val="both"/>
              <w:rPr>
                <w:rFonts w:hint="eastAsia" w:asciiTheme="minorEastAsia" w:hAnsiTheme="minorEastAsia" w:eastAsiaTheme="minorEastAsia" w:cstheme="minorEastAsia"/>
                <w:color w:val="auto"/>
                <w:sz w:val="24"/>
                <w:szCs w:val="24"/>
              </w:rPr>
            </w:pPr>
          </w:p>
        </w:tc>
        <w:tc>
          <w:tcPr>
            <w:tcW w:w="1030" w:type="dxa"/>
            <w:tcBorders>
              <w:top w:val="nil"/>
              <w:left w:val="nil"/>
              <w:bottom w:val="single" w:color="000000" w:sz="4" w:space="0"/>
              <w:right w:val="single" w:color="000000" w:sz="4" w:space="0"/>
            </w:tcBorders>
            <w:tcMar>
              <w:top w:w="0" w:type="dxa"/>
              <w:left w:w="90" w:type="dxa"/>
              <w:bottom w:w="0" w:type="dxa"/>
              <w:right w:w="90" w:type="dxa"/>
            </w:tcMar>
            <w:vAlign w:val="top"/>
          </w:tcPr>
          <w:p w14:paraId="11DBE5D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1683" w:type="dxa"/>
            <w:tcBorders>
              <w:top w:val="nil"/>
              <w:left w:val="nil"/>
              <w:bottom w:val="single" w:color="000000" w:sz="4" w:space="0"/>
              <w:right w:val="single" w:color="000000" w:sz="4" w:space="0"/>
            </w:tcBorders>
            <w:tcMar>
              <w:top w:w="0" w:type="dxa"/>
              <w:left w:w="90" w:type="dxa"/>
              <w:bottom w:w="0" w:type="dxa"/>
              <w:right w:w="90" w:type="dxa"/>
            </w:tcMar>
            <w:vAlign w:val="top"/>
          </w:tcPr>
          <w:p w14:paraId="1AAF9F9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根据采购人需求开通不同运营商间机房线路</w:t>
            </w:r>
          </w:p>
        </w:tc>
      </w:tr>
      <w:tr w14:paraId="67ED32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09ABB0F">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2035" w:type="dxa"/>
            <w:tcBorders>
              <w:top w:val="nil"/>
              <w:left w:val="nil"/>
              <w:bottom w:val="single" w:color="000000" w:sz="4" w:space="0"/>
              <w:right w:val="single" w:color="000000" w:sz="4" w:space="0"/>
            </w:tcBorders>
            <w:tcMar>
              <w:top w:w="0" w:type="dxa"/>
              <w:left w:w="90" w:type="dxa"/>
              <w:bottom w:w="0" w:type="dxa"/>
              <w:right w:w="90" w:type="dxa"/>
            </w:tcMar>
            <w:vAlign w:val="top"/>
          </w:tcPr>
          <w:p w14:paraId="6D31A941">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备用线路</w:t>
            </w:r>
          </w:p>
        </w:tc>
        <w:tc>
          <w:tcPr>
            <w:tcW w:w="1822" w:type="dxa"/>
            <w:tcBorders>
              <w:top w:val="nil"/>
              <w:left w:val="nil"/>
              <w:bottom w:val="single" w:color="000000" w:sz="4" w:space="0"/>
              <w:right w:val="single" w:color="000000" w:sz="4" w:space="0"/>
            </w:tcBorders>
            <w:tcMar>
              <w:top w:w="0" w:type="dxa"/>
              <w:left w:w="90" w:type="dxa"/>
              <w:bottom w:w="0" w:type="dxa"/>
              <w:right w:w="90" w:type="dxa"/>
            </w:tcMar>
            <w:vAlign w:val="top"/>
          </w:tcPr>
          <w:p w14:paraId="5818882E">
            <w:pPr>
              <w:pStyle w:val="10"/>
              <w:spacing w:line="360" w:lineRule="auto"/>
              <w:jc w:val="both"/>
              <w:rPr>
                <w:rFonts w:hint="eastAsia" w:asciiTheme="minorEastAsia" w:hAnsiTheme="minorEastAsia" w:eastAsiaTheme="minorEastAsia" w:cstheme="minorEastAsia"/>
                <w:color w:val="auto"/>
                <w:sz w:val="24"/>
                <w:szCs w:val="24"/>
              </w:rPr>
            </w:pPr>
          </w:p>
        </w:tc>
        <w:tc>
          <w:tcPr>
            <w:tcW w:w="1130" w:type="dxa"/>
            <w:tcBorders>
              <w:top w:val="nil"/>
              <w:left w:val="nil"/>
              <w:bottom w:val="single" w:color="000000" w:sz="4" w:space="0"/>
              <w:right w:val="single" w:color="000000" w:sz="4" w:space="0"/>
            </w:tcBorders>
            <w:tcMar>
              <w:top w:w="0" w:type="dxa"/>
              <w:left w:w="90" w:type="dxa"/>
              <w:bottom w:w="0" w:type="dxa"/>
              <w:right w:w="90" w:type="dxa"/>
            </w:tcMar>
            <w:vAlign w:val="top"/>
          </w:tcPr>
          <w:p w14:paraId="740EF6B1">
            <w:pPr>
              <w:spacing w:line="360" w:lineRule="auto"/>
              <w:rPr>
                <w:rFonts w:hint="eastAsia" w:asciiTheme="minorEastAsia" w:hAnsiTheme="minorEastAsia" w:eastAsiaTheme="minorEastAsia" w:cstheme="minorEastAsia"/>
                <w:color w:val="auto"/>
                <w:sz w:val="24"/>
                <w:szCs w:val="24"/>
              </w:rPr>
            </w:pPr>
          </w:p>
        </w:tc>
        <w:tc>
          <w:tcPr>
            <w:tcW w:w="1030" w:type="dxa"/>
            <w:tcBorders>
              <w:top w:val="nil"/>
              <w:left w:val="nil"/>
              <w:bottom w:val="single" w:color="000000" w:sz="4" w:space="0"/>
              <w:right w:val="single" w:color="000000" w:sz="4" w:space="0"/>
            </w:tcBorders>
            <w:tcMar>
              <w:top w:w="0" w:type="dxa"/>
              <w:left w:w="90" w:type="dxa"/>
              <w:bottom w:w="0" w:type="dxa"/>
              <w:right w:w="90" w:type="dxa"/>
            </w:tcMar>
            <w:vAlign w:val="top"/>
          </w:tcPr>
          <w:p w14:paraId="1FA6FE1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683" w:type="dxa"/>
            <w:tcBorders>
              <w:top w:val="nil"/>
              <w:left w:val="nil"/>
              <w:bottom w:val="single" w:color="000000" w:sz="4" w:space="0"/>
              <w:right w:val="single" w:color="000000" w:sz="4" w:space="0"/>
            </w:tcBorders>
            <w:tcMar>
              <w:top w:w="0" w:type="dxa"/>
              <w:left w:w="90" w:type="dxa"/>
              <w:bottom w:w="0" w:type="dxa"/>
              <w:right w:w="90" w:type="dxa"/>
            </w:tcMar>
            <w:vAlign w:val="top"/>
          </w:tcPr>
          <w:p w14:paraId="2773406E">
            <w:pPr>
              <w:pStyle w:val="10"/>
              <w:spacing w:line="360" w:lineRule="auto"/>
              <w:jc w:val="both"/>
              <w:rPr>
                <w:rFonts w:hint="eastAsia" w:asciiTheme="minorEastAsia" w:hAnsiTheme="minorEastAsia" w:eastAsiaTheme="minorEastAsia" w:cstheme="minorEastAsia"/>
                <w:color w:val="auto"/>
                <w:sz w:val="24"/>
                <w:szCs w:val="24"/>
              </w:rPr>
            </w:pPr>
          </w:p>
        </w:tc>
      </w:tr>
    </w:tbl>
    <w:p w14:paraId="1FFCE5B4">
      <w:pPr>
        <w:pStyle w:val="10"/>
        <w:numPr>
          <w:ilvl w:val="-1"/>
          <w:numId w:val="0"/>
        </w:num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移动警务流量池≥10000G/年，服务期内无偿提供5台高性能手机测试终端、2台移动笔记本终端和2台5G执法记录仪，满足移动警务多场景功能验证需求，含通信卡及加密卡等配套。</w:t>
      </w:r>
    </w:p>
    <w:p w14:paraId="34AF22E6">
      <w:pPr>
        <w:pStyle w:val="10"/>
        <w:numPr>
          <w:ilvl w:val="-1"/>
          <w:numId w:val="0"/>
        </w:numPr>
        <w:spacing w:line="360" w:lineRule="auto"/>
        <w:ind w:lef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cstheme="minorEastAsia"/>
          <w:b/>
          <w:color w:val="auto"/>
          <w:sz w:val="24"/>
          <w:szCs w:val="24"/>
          <w:lang w:val="en-US" w:eastAsia="zh-CN"/>
        </w:rPr>
        <w:t>5.</w:t>
      </w:r>
      <w:r>
        <w:rPr>
          <w:rFonts w:hint="eastAsia" w:asciiTheme="minorEastAsia" w:hAnsiTheme="minorEastAsia" w:eastAsiaTheme="minorEastAsia" w:cstheme="minorEastAsia"/>
          <w:b/>
          <w:color w:val="auto"/>
          <w:sz w:val="24"/>
          <w:szCs w:val="24"/>
        </w:rPr>
        <w:t>专项线路</w:t>
      </w:r>
      <w:r>
        <w:rPr>
          <w:rFonts w:hint="eastAsia" w:asciiTheme="minorEastAsia" w:hAnsiTheme="minorEastAsia" w:cstheme="minorEastAsia"/>
          <w:b/>
          <w:color w:val="auto"/>
          <w:sz w:val="24"/>
          <w:szCs w:val="24"/>
          <w:lang w:eastAsia="zh-CN"/>
        </w:rPr>
        <w:t>租用</w:t>
      </w:r>
      <w:r>
        <w:rPr>
          <w:rFonts w:hint="eastAsia" w:asciiTheme="minorEastAsia" w:hAnsiTheme="minorEastAsia" w:eastAsiaTheme="minorEastAsia" w:cstheme="minorEastAsia"/>
          <w:b/>
          <w:color w:val="auto"/>
          <w:sz w:val="24"/>
          <w:szCs w:val="24"/>
        </w:rPr>
        <w:t>服务</w:t>
      </w:r>
    </w:p>
    <w:p w14:paraId="45098AA1">
      <w:pPr>
        <w:pStyle w:val="10"/>
        <w:spacing w:line="360" w:lineRule="auto"/>
        <w:ind w:firstLine="42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（1）投标人提供PE OTN传输专线（可选OTN、MSTP等实现技术）共13条，其中省公安厅至各设区市公安局、平潭综合实验区公安局622M传输专线各1条，共10条；省公安厅至塔头路268-2号</w:t>
      </w:r>
      <w:r>
        <w:rPr>
          <w:rFonts w:hint="eastAsia" w:asciiTheme="minorEastAsia" w:hAnsiTheme="minorEastAsia" w:cstheme="minorEastAsia"/>
          <w:color w:val="auto"/>
          <w:sz w:val="24"/>
          <w:szCs w:val="24"/>
          <w:lang w:val="en-US" w:eastAsia="zh-CN"/>
        </w:rPr>
        <w:t>TJ</w:t>
      </w:r>
      <w:r>
        <w:rPr>
          <w:rFonts w:hint="eastAsia" w:asciiTheme="minorEastAsia" w:hAnsiTheme="minorEastAsia" w:eastAsiaTheme="minorEastAsia" w:cstheme="minorEastAsia"/>
          <w:color w:val="auto"/>
          <w:sz w:val="24"/>
          <w:szCs w:val="24"/>
        </w:rPr>
        <w:t>局、杨桥路118号交警总队、铜盘路407号办公楼155M传输专线各1条，共3条,传输专线带宽应与用户链路层设备接口速率完全匹配，满足采购人网络结构规范要求，确保数据传输可靠高效。</w:t>
      </w:r>
      <w:r>
        <w:rPr>
          <w:rFonts w:hint="eastAsia" w:asciiTheme="minorEastAsia" w:hAnsiTheme="minorEastAsia" w:eastAsiaTheme="minorEastAsia" w:cstheme="minorEastAsia"/>
          <w:b/>
          <w:bCs/>
          <w:color w:val="auto"/>
          <w:sz w:val="24"/>
          <w:szCs w:val="24"/>
        </w:rPr>
        <w:t>本项专项线路</w:t>
      </w:r>
      <w:r>
        <w:rPr>
          <w:rFonts w:hint="eastAsia" w:asciiTheme="minorEastAsia" w:hAnsiTheme="minorEastAsia" w:cstheme="minorEastAsia"/>
          <w:b/>
          <w:bCs/>
          <w:color w:val="auto"/>
          <w:sz w:val="24"/>
          <w:szCs w:val="24"/>
          <w:lang w:eastAsia="zh-CN"/>
        </w:rPr>
        <w:t>租用</w:t>
      </w:r>
      <w:r>
        <w:rPr>
          <w:rFonts w:hint="eastAsia" w:asciiTheme="minorEastAsia" w:hAnsiTheme="minorEastAsia" w:eastAsiaTheme="minorEastAsia" w:cstheme="minorEastAsia"/>
          <w:b/>
          <w:bCs/>
          <w:color w:val="auto"/>
          <w:sz w:val="24"/>
          <w:szCs w:val="24"/>
        </w:rPr>
        <w:t>服务的服务期自2027年1月1日起，至本项目整体服务期满之日</w:t>
      </w:r>
      <w:r>
        <w:rPr>
          <w:rFonts w:hint="eastAsia" w:asciiTheme="minorEastAsia" w:hAnsiTheme="minorEastAsia" w:cstheme="minorEastAsia"/>
          <w:b/>
          <w:bCs/>
          <w:color w:val="auto"/>
          <w:sz w:val="24"/>
          <w:szCs w:val="24"/>
          <w:lang w:eastAsia="zh-CN"/>
        </w:rPr>
        <w:t>（</w:t>
      </w:r>
      <w:r>
        <w:rPr>
          <w:rFonts w:hint="eastAsia" w:asciiTheme="minorEastAsia" w:hAnsiTheme="minorEastAsia" w:cstheme="minorEastAsia"/>
          <w:b/>
          <w:bCs/>
          <w:color w:val="auto"/>
          <w:sz w:val="24"/>
          <w:szCs w:val="24"/>
          <w:lang w:val="en-US" w:eastAsia="zh-CN"/>
        </w:rPr>
        <w:t>2027年9月9日</w:t>
      </w:r>
      <w:r>
        <w:rPr>
          <w:rFonts w:hint="eastAsia" w:asciiTheme="minorEastAsia" w:hAnsi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止，费用全额包含在投标总价中。</w:t>
      </w:r>
    </w:p>
    <w:p w14:paraId="27DA618C">
      <w:pPr>
        <w:pStyle w:val="10"/>
        <w:spacing w:line="360" w:lineRule="auto"/>
        <w:ind w:firstLine="42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（2）投标人提供专用的用户接入传输设备，传输设备支持多业务接入能力，按需支持E1、STM-1/4/16/64、FE、GE等不同速率等级接口，并且支持即插即用，支持用户的SDH、以太网、OTN 多种接口接入，其中STM-1/4/16/64满足端到端的完整VC4虚容器（SDH协议）。</w:t>
      </w:r>
    </w:p>
    <w:p w14:paraId="11769012">
      <w:pPr>
        <w:pStyle w:val="10"/>
        <w:spacing w:line="360" w:lineRule="auto"/>
        <w:ind w:firstLine="42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（3）投标人应采用物理隔离的硬管道传输技术承载的专线。不接受PON/MPLS VPN/IPRAN/PTN 等IP类统计复用、逻辑隔离方式承载，确保传输专线与其他网络物理隔离。</w:t>
      </w:r>
    </w:p>
    <w:p w14:paraId="42236460">
      <w:pPr>
        <w:pStyle w:val="10"/>
        <w:spacing w:line="360" w:lineRule="auto"/>
        <w:ind w:firstLine="42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（4）投标人网络应满足节点之间流量的无阻塞、低时延转发。</w:t>
      </w:r>
    </w:p>
    <w:p w14:paraId="19D220FD">
      <w:pPr>
        <w:pStyle w:val="10"/>
        <w:spacing w:line="360" w:lineRule="auto"/>
        <w:ind w:firstLine="42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（5）投标人专线承载设备需具备充足生命周期，保证在周期内能获得设备制造厂商的软硬件服务支持，确保用户业务连续性和长期演进。</w:t>
      </w:r>
    </w:p>
    <w:p w14:paraId="20CC40B0">
      <w:pPr>
        <w:pStyle w:val="10"/>
        <w:spacing w:line="360" w:lineRule="auto"/>
        <w:ind w:firstLine="420"/>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6</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线路质量要求</w:t>
      </w:r>
    </w:p>
    <w:p w14:paraId="7EE444BA">
      <w:pPr>
        <w:pStyle w:val="10"/>
        <w:spacing w:line="360" w:lineRule="auto"/>
        <w:ind w:firstLine="42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投标人应具备中华人民共和国工业和信息化部颁发的《基础电信业务经营许可证》，在符合国家有关电信业务规定的范围提供国内跨域线路，所提供线路应符合国家数据通信技术标准。</w:t>
      </w:r>
    </w:p>
    <w:p w14:paraId="3C89ADD5">
      <w:pPr>
        <w:pStyle w:val="10"/>
        <w:spacing w:line="360" w:lineRule="auto"/>
        <w:ind w:firstLine="42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电路可用率：电路可用率指标≥99.9%。</w:t>
      </w:r>
    </w:p>
    <w:p w14:paraId="6F185217">
      <w:pPr>
        <w:pStyle w:val="10"/>
        <w:spacing w:line="360" w:lineRule="auto"/>
        <w:ind w:firstLine="42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时延：电路双向时延≤50ms。</w:t>
      </w:r>
    </w:p>
    <w:p w14:paraId="0E948BA4">
      <w:pPr>
        <w:pStyle w:val="10"/>
        <w:spacing w:line="360" w:lineRule="auto"/>
        <w:ind w:firstLine="42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丢帧/误码率：电路丢帧/误码率≤1×10-7。</w:t>
      </w:r>
    </w:p>
    <w:p w14:paraId="28370DDD">
      <w:pPr>
        <w:pStyle w:val="10"/>
        <w:spacing w:line="360" w:lineRule="auto"/>
        <w:ind w:firstLine="420"/>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7</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维护及租用清单</w:t>
      </w:r>
    </w:p>
    <w:tbl>
      <w:tblPr>
        <w:tblStyle w:val="6"/>
        <w:tblW w:w="8382"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08"/>
        <w:gridCol w:w="1636"/>
        <w:gridCol w:w="1487"/>
        <w:gridCol w:w="1543"/>
        <w:gridCol w:w="1409"/>
        <w:gridCol w:w="870"/>
        <w:gridCol w:w="829"/>
      </w:tblGrid>
      <w:tr w14:paraId="77048D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vAlign w:val="top"/>
          </w:tcPr>
          <w:p w14:paraId="4B60797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636"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123E42E6">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本端</w:t>
            </w:r>
          </w:p>
        </w:tc>
        <w:tc>
          <w:tcPr>
            <w:tcW w:w="1487"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1B8EEE96">
            <w:pPr>
              <w:pStyle w:val="10"/>
              <w:spacing w:line="360" w:lineRule="auto"/>
              <w:ind w:firstLine="78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对端</w:t>
            </w:r>
          </w:p>
        </w:tc>
        <w:tc>
          <w:tcPr>
            <w:tcW w:w="1543"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48F4DDB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速率</w:t>
            </w:r>
          </w:p>
        </w:tc>
        <w:tc>
          <w:tcPr>
            <w:tcW w:w="1409"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18E61218">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接口要求</w:t>
            </w:r>
          </w:p>
        </w:tc>
        <w:tc>
          <w:tcPr>
            <w:tcW w:w="870"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78B3A7A0">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829" w:type="dxa"/>
            <w:tcBorders>
              <w:top w:val="single" w:color="000000" w:sz="4" w:space="0"/>
              <w:left w:val="nil"/>
              <w:bottom w:val="single" w:color="000000" w:sz="4" w:space="0"/>
              <w:right w:val="single" w:color="000000" w:sz="4" w:space="0"/>
            </w:tcBorders>
            <w:tcMar>
              <w:top w:w="0" w:type="dxa"/>
              <w:left w:w="90" w:type="dxa"/>
              <w:bottom w:w="0" w:type="dxa"/>
              <w:right w:w="90" w:type="dxa"/>
            </w:tcMar>
            <w:vAlign w:val="top"/>
          </w:tcPr>
          <w:p w14:paraId="6C2AC566">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4AF550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52A365E">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636" w:type="dxa"/>
            <w:tcBorders>
              <w:top w:val="nil"/>
              <w:left w:val="nil"/>
              <w:bottom w:val="single" w:color="000000" w:sz="4" w:space="0"/>
              <w:right w:val="single" w:color="000000" w:sz="4" w:space="0"/>
            </w:tcBorders>
            <w:tcMar>
              <w:top w:w="0" w:type="dxa"/>
              <w:left w:w="90" w:type="dxa"/>
              <w:bottom w:w="0" w:type="dxa"/>
              <w:right w:w="90" w:type="dxa"/>
            </w:tcMar>
            <w:vAlign w:val="top"/>
          </w:tcPr>
          <w:p w14:paraId="49DFD41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487" w:type="dxa"/>
            <w:tcBorders>
              <w:top w:val="nil"/>
              <w:left w:val="nil"/>
              <w:bottom w:val="single" w:color="000000" w:sz="4" w:space="0"/>
              <w:right w:val="single" w:color="000000" w:sz="4" w:space="0"/>
            </w:tcBorders>
            <w:tcMar>
              <w:top w:w="0" w:type="dxa"/>
              <w:left w:w="90" w:type="dxa"/>
              <w:bottom w:w="0" w:type="dxa"/>
              <w:right w:w="90" w:type="dxa"/>
            </w:tcMar>
            <w:vAlign w:val="top"/>
          </w:tcPr>
          <w:p w14:paraId="7C8F11A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福州公安局</w:t>
            </w:r>
          </w:p>
        </w:tc>
        <w:tc>
          <w:tcPr>
            <w:tcW w:w="1543" w:type="dxa"/>
            <w:tcBorders>
              <w:top w:val="nil"/>
              <w:left w:val="nil"/>
              <w:bottom w:val="single" w:color="000000" w:sz="4" w:space="0"/>
              <w:right w:val="single" w:color="000000" w:sz="4" w:space="0"/>
            </w:tcBorders>
            <w:tcMar>
              <w:top w:w="0" w:type="dxa"/>
              <w:left w:w="90" w:type="dxa"/>
              <w:bottom w:w="0" w:type="dxa"/>
              <w:right w:w="90" w:type="dxa"/>
            </w:tcMar>
            <w:vAlign w:val="top"/>
          </w:tcPr>
          <w:p w14:paraId="45939673">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622M SDH</w:t>
            </w:r>
          </w:p>
        </w:tc>
        <w:tc>
          <w:tcPr>
            <w:tcW w:w="1409" w:type="dxa"/>
            <w:tcBorders>
              <w:top w:val="nil"/>
              <w:left w:val="nil"/>
              <w:bottom w:val="single" w:color="000000" w:sz="4" w:space="0"/>
              <w:right w:val="single" w:color="000000" w:sz="4" w:space="0"/>
            </w:tcBorders>
            <w:tcMar>
              <w:top w:w="0" w:type="dxa"/>
              <w:left w:w="90" w:type="dxa"/>
              <w:bottom w:w="0" w:type="dxa"/>
              <w:right w:w="90" w:type="dxa"/>
            </w:tcMar>
            <w:vAlign w:val="top"/>
          </w:tcPr>
          <w:p w14:paraId="46402DE8">
            <w:pPr>
              <w:pStyle w:val="10"/>
              <w:spacing w:line="360" w:lineRule="auto"/>
              <w:jc w:val="both"/>
              <w:rPr>
                <w:rFonts w:hint="eastAsia" w:asciiTheme="minorEastAsia" w:hAnsiTheme="minorEastAsia" w:eastAsiaTheme="minorEastAsia" w:cstheme="minorEastAsia"/>
                <w:color w:val="auto"/>
                <w:sz w:val="24"/>
                <w:szCs w:val="24"/>
              </w:rPr>
            </w:pPr>
          </w:p>
        </w:tc>
        <w:tc>
          <w:tcPr>
            <w:tcW w:w="870" w:type="dxa"/>
            <w:tcBorders>
              <w:top w:val="nil"/>
              <w:left w:val="nil"/>
              <w:bottom w:val="single" w:color="000000" w:sz="4" w:space="0"/>
              <w:right w:val="single" w:color="000000" w:sz="4" w:space="0"/>
            </w:tcBorders>
            <w:tcMar>
              <w:top w:w="0" w:type="dxa"/>
              <w:left w:w="90" w:type="dxa"/>
              <w:bottom w:w="0" w:type="dxa"/>
              <w:right w:w="90" w:type="dxa"/>
            </w:tcMar>
            <w:vAlign w:val="top"/>
          </w:tcPr>
          <w:p w14:paraId="39E9B85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29" w:type="dxa"/>
            <w:tcBorders>
              <w:top w:val="nil"/>
              <w:left w:val="nil"/>
              <w:bottom w:val="single" w:color="000000" w:sz="4" w:space="0"/>
              <w:right w:val="single" w:color="000000" w:sz="4" w:space="0"/>
            </w:tcBorders>
            <w:tcMar>
              <w:top w:w="0" w:type="dxa"/>
              <w:left w:w="90" w:type="dxa"/>
              <w:bottom w:w="0" w:type="dxa"/>
              <w:right w:w="90" w:type="dxa"/>
            </w:tcMar>
            <w:vAlign w:val="top"/>
          </w:tcPr>
          <w:p w14:paraId="22BBD6FB">
            <w:pPr>
              <w:pStyle w:val="10"/>
              <w:spacing w:line="360" w:lineRule="auto"/>
              <w:jc w:val="center"/>
              <w:rPr>
                <w:rFonts w:hint="eastAsia" w:asciiTheme="minorEastAsia" w:hAnsiTheme="minorEastAsia" w:eastAsiaTheme="minorEastAsia" w:cstheme="minorEastAsia"/>
                <w:color w:val="auto"/>
                <w:sz w:val="24"/>
                <w:szCs w:val="24"/>
              </w:rPr>
            </w:pPr>
          </w:p>
        </w:tc>
      </w:tr>
      <w:tr w14:paraId="2CFFB6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975CDF6">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636" w:type="dxa"/>
            <w:tcBorders>
              <w:top w:val="nil"/>
              <w:left w:val="nil"/>
              <w:bottom w:val="single" w:color="000000" w:sz="4" w:space="0"/>
              <w:right w:val="single" w:color="000000" w:sz="4" w:space="0"/>
            </w:tcBorders>
            <w:tcMar>
              <w:top w:w="0" w:type="dxa"/>
              <w:left w:w="90" w:type="dxa"/>
              <w:bottom w:w="0" w:type="dxa"/>
              <w:right w:w="90" w:type="dxa"/>
            </w:tcMar>
            <w:vAlign w:val="top"/>
          </w:tcPr>
          <w:p w14:paraId="5A31320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487" w:type="dxa"/>
            <w:tcBorders>
              <w:top w:val="nil"/>
              <w:left w:val="nil"/>
              <w:bottom w:val="single" w:color="000000" w:sz="4" w:space="0"/>
              <w:right w:val="single" w:color="000000" w:sz="4" w:space="0"/>
            </w:tcBorders>
            <w:tcMar>
              <w:top w:w="0" w:type="dxa"/>
              <w:left w:w="90" w:type="dxa"/>
              <w:bottom w:w="0" w:type="dxa"/>
              <w:right w:w="90" w:type="dxa"/>
            </w:tcMar>
            <w:vAlign w:val="top"/>
          </w:tcPr>
          <w:p w14:paraId="622EDCB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厦门公安局</w:t>
            </w:r>
          </w:p>
        </w:tc>
        <w:tc>
          <w:tcPr>
            <w:tcW w:w="1543" w:type="dxa"/>
            <w:tcBorders>
              <w:top w:val="nil"/>
              <w:left w:val="nil"/>
              <w:bottom w:val="single" w:color="000000" w:sz="4" w:space="0"/>
              <w:right w:val="single" w:color="000000" w:sz="4" w:space="0"/>
            </w:tcBorders>
            <w:tcMar>
              <w:top w:w="0" w:type="dxa"/>
              <w:left w:w="90" w:type="dxa"/>
              <w:bottom w:w="0" w:type="dxa"/>
              <w:right w:w="90" w:type="dxa"/>
            </w:tcMar>
            <w:vAlign w:val="top"/>
          </w:tcPr>
          <w:p w14:paraId="00E66EA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622M SDH</w:t>
            </w:r>
          </w:p>
        </w:tc>
        <w:tc>
          <w:tcPr>
            <w:tcW w:w="1409" w:type="dxa"/>
            <w:tcBorders>
              <w:top w:val="nil"/>
              <w:left w:val="nil"/>
              <w:bottom w:val="single" w:color="000000" w:sz="4" w:space="0"/>
              <w:right w:val="single" w:color="000000" w:sz="4" w:space="0"/>
            </w:tcBorders>
            <w:tcMar>
              <w:top w:w="0" w:type="dxa"/>
              <w:left w:w="90" w:type="dxa"/>
              <w:bottom w:w="0" w:type="dxa"/>
              <w:right w:w="90" w:type="dxa"/>
            </w:tcMar>
            <w:vAlign w:val="top"/>
          </w:tcPr>
          <w:p w14:paraId="216BBED5">
            <w:pPr>
              <w:pStyle w:val="10"/>
              <w:spacing w:line="360" w:lineRule="auto"/>
              <w:jc w:val="both"/>
              <w:rPr>
                <w:rFonts w:hint="eastAsia" w:asciiTheme="minorEastAsia" w:hAnsiTheme="minorEastAsia" w:eastAsiaTheme="minorEastAsia" w:cstheme="minorEastAsia"/>
                <w:color w:val="auto"/>
                <w:sz w:val="24"/>
                <w:szCs w:val="24"/>
              </w:rPr>
            </w:pPr>
          </w:p>
        </w:tc>
        <w:tc>
          <w:tcPr>
            <w:tcW w:w="870" w:type="dxa"/>
            <w:tcBorders>
              <w:top w:val="nil"/>
              <w:left w:val="nil"/>
              <w:bottom w:val="single" w:color="000000" w:sz="4" w:space="0"/>
              <w:right w:val="single" w:color="000000" w:sz="4" w:space="0"/>
            </w:tcBorders>
            <w:tcMar>
              <w:top w:w="0" w:type="dxa"/>
              <w:left w:w="90" w:type="dxa"/>
              <w:bottom w:w="0" w:type="dxa"/>
              <w:right w:w="90" w:type="dxa"/>
            </w:tcMar>
            <w:vAlign w:val="top"/>
          </w:tcPr>
          <w:p w14:paraId="38039C18">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29" w:type="dxa"/>
            <w:tcBorders>
              <w:top w:val="nil"/>
              <w:left w:val="nil"/>
              <w:bottom w:val="single" w:color="000000" w:sz="4" w:space="0"/>
              <w:right w:val="single" w:color="000000" w:sz="4" w:space="0"/>
            </w:tcBorders>
            <w:tcMar>
              <w:top w:w="0" w:type="dxa"/>
              <w:left w:w="90" w:type="dxa"/>
              <w:bottom w:w="0" w:type="dxa"/>
              <w:right w:w="90" w:type="dxa"/>
            </w:tcMar>
            <w:vAlign w:val="top"/>
          </w:tcPr>
          <w:p w14:paraId="121A0D94">
            <w:pPr>
              <w:pStyle w:val="10"/>
              <w:spacing w:line="360" w:lineRule="auto"/>
              <w:jc w:val="center"/>
              <w:rPr>
                <w:rFonts w:hint="eastAsia" w:asciiTheme="minorEastAsia" w:hAnsiTheme="minorEastAsia" w:eastAsiaTheme="minorEastAsia" w:cstheme="minorEastAsia"/>
                <w:color w:val="auto"/>
                <w:sz w:val="24"/>
                <w:szCs w:val="24"/>
              </w:rPr>
            </w:pPr>
          </w:p>
        </w:tc>
      </w:tr>
      <w:tr w14:paraId="705D7B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F5ACBB4">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636" w:type="dxa"/>
            <w:tcBorders>
              <w:top w:val="nil"/>
              <w:left w:val="nil"/>
              <w:bottom w:val="single" w:color="000000" w:sz="4" w:space="0"/>
              <w:right w:val="single" w:color="000000" w:sz="4" w:space="0"/>
            </w:tcBorders>
            <w:tcMar>
              <w:top w:w="0" w:type="dxa"/>
              <w:left w:w="90" w:type="dxa"/>
              <w:bottom w:w="0" w:type="dxa"/>
              <w:right w:w="90" w:type="dxa"/>
            </w:tcMar>
            <w:vAlign w:val="top"/>
          </w:tcPr>
          <w:p w14:paraId="0EA5F5DC">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487" w:type="dxa"/>
            <w:tcBorders>
              <w:top w:val="nil"/>
              <w:left w:val="nil"/>
              <w:bottom w:val="single" w:color="000000" w:sz="4" w:space="0"/>
              <w:right w:val="single" w:color="000000" w:sz="4" w:space="0"/>
            </w:tcBorders>
            <w:tcMar>
              <w:top w:w="0" w:type="dxa"/>
              <w:left w:w="90" w:type="dxa"/>
              <w:bottom w:w="0" w:type="dxa"/>
              <w:right w:w="90" w:type="dxa"/>
            </w:tcMar>
            <w:vAlign w:val="top"/>
          </w:tcPr>
          <w:p w14:paraId="17CECA0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漳州公安局</w:t>
            </w:r>
          </w:p>
        </w:tc>
        <w:tc>
          <w:tcPr>
            <w:tcW w:w="1543" w:type="dxa"/>
            <w:tcBorders>
              <w:top w:val="nil"/>
              <w:left w:val="nil"/>
              <w:bottom w:val="single" w:color="000000" w:sz="4" w:space="0"/>
              <w:right w:val="single" w:color="000000" w:sz="4" w:space="0"/>
            </w:tcBorders>
            <w:tcMar>
              <w:top w:w="0" w:type="dxa"/>
              <w:left w:w="90" w:type="dxa"/>
              <w:bottom w:w="0" w:type="dxa"/>
              <w:right w:w="90" w:type="dxa"/>
            </w:tcMar>
            <w:vAlign w:val="top"/>
          </w:tcPr>
          <w:p w14:paraId="06004C6D">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622M SDH</w:t>
            </w:r>
          </w:p>
        </w:tc>
        <w:tc>
          <w:tcPr>
            <w:tcW w:w="1409" w:type="dxa"/>
            <w:tcBorders>
              <w:top w:val="nil"/>
              <w:left w:val="nil"/>
              <w:bottom w:val="single" w:color="000000" w:sz="4" w:space="0"/>
              <w:right w:val="single" w:color="000000" w:sz="4" w:space="0"/>
            </w:tcBorders>
            <w:tcMar>
              <w:top w:w="0" w:type="dxa"/>
              <w:left w:w="90" w:type="dxa"/>
              <w:bottom w:w="0" w:type="dxa"/>
              <w:right w:w="90" w:type="dxa"/>
            </w:tcMar>
            <w:vAlign w:val="top"/>
          </w:tcPr>
          <w:p w14:paraId="32A19C43">
            <w:pPr>
              <w:pStyle w:val="10"/>
              <w:spacing w:line="360" w:lineRule="auto"/>
              <w:jc w:val="both"/>
              <w:rPr>
                <w:rFonts w:hint="eastAsia" w:asciiTheme="minorEastAsia" w:hAnsiTheme="minorEastAsia" w:eastAsiaTheme="minorEastAsia" w:cstheme="minorEastAsia"/>
                <w:color w:val="auto"/>
                <w:sz w:val="24"/>
                <w:szCs w:val="24"/>
              </w:rPr>
            </w:pPr>
          </w:p>
        </w:tc>
        <w:tc>
          <w:tcPr>
            <w:tcW w:w="870" w:type="dxa"/>
            <w:tcBorders>
              <w:top w:val="nil"/>
              <w:left w:val="nil"/>
              <w:bottom w:val="single" w:color="000000" w:sz="4" w:space="0"/>
              <w:right w:val="single" w:color="000000" w:sz="4" w:space="0"/>
            </w:tcBorders>
            <w:tcMar>
              <w:top w:w="0" w:type="dxa"/>
              <w:left w:w="90" w:type="dxa"/>
              <w:bottom w:w="0" w:type="dxa"/>
              <w:right w:w="90" w:type="dxa"/>
            </w:tcMar>
            <w:vAlign w:val="top"/>
          </w:tcPr>
          <w:p w14:paraId="6EF6075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29" w:type="dxa"/>
            <w:tcBorders>
              <w:top w:val="nil"/>
              <w:left w:val="nil"/>
              <w:bottom w:val="single" w:color="000000" w:sz="4" w:space="0"/>
              <w:right w:val="single" w:color="000000" w:sz="4" w:space="0"/>
            </w:tcBorders>
            <w:tcMar>
              <w:top w:w="0" w:type="dxa"/>
              <w:left w:w="90" w:type="dxa"/>
              <w:bottom w:w="0" w:type="dxa"/>
              <w:right w:w="90" w:type="dxa"/>
            </w:tcMar>
            <w:vAlign w:val="top"/>
          </w:tcPr>
          <w:p w14:paraId="7FF7DC10">
            <w:pPr>
              <w:pStyle w:val="10"/>
              <w:spacing w:line="360" w:lineRule="auto"/>
              <w:jc w:val="center"/>
              <w:rPr>
                <w:rFonts w:hint="eastAsia" w:asciiTheme="minorEastAsia" w:hAnsiTheme="minorEastAsia" w:eastAsiaTheme="minorEastAsia" w:cstheme="minorEastAsia"/>
                <w:color w:val="auto"/>
                <w:sz w:val="24"/>
                <w:szCs w:val="24"/>
              </w:rPr>
            </w:pPr>
          </w:p>
        </w:tc>
      </w:tr>
      <w:tr w14:paraId="584071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7D32F8D7">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636" w:type="dxa"/>
            <w:tcBorders>
              <w:top w:val="nil"/>
              <w:left w:val="nil"/>
              <w:bottom w:val="single" w:color="000000" w:sz="4" w:space="0"/>
              <w:right w:val="single" w:color="000000" w:sz="4" w:space="0"/>
            </w:tcBorders>
            <w:tcMar>
              <w:top w:w="0" w:type="dxa"/>
              <w:left w:w="90" w:type="dxa"/>
              <w:bottom w:w="0" w:type="dxa"/>
              <w:right w:w="90" w:type="dxa"/>
            </w:tcMar>
            <w:vAlign w:val="top"/>
          </w:tcPr>
          <w:p w14:paraId="22B680C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487" w:type="dxa"/>
            <w:tcBorders>
              <w:top w:val="nil"/>
              <w:left w:val="nil"/>
              <w:bottom w:val="single" w:color="000000" w:sz="4" w:space="0"/>
              <w:right w:val="single" w:color="000000" w:sz="4" w:space="0"/>
            </w:tcBorders>
            <w:tcMar>
              <w:top w:w="0" w:type="dxa"/>
              <w:left w:w="90" w:type="dxa"/>
              <w:bottom w:w="0" w:type="dxa"/>
              <w:right w:w="90" w:type="dxa"/>
            </w:tcMar>
            <w:vAlign w:val="top"/>
          </w:tcPr>
          <w:p w14:paraId="0D7E63A5">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泉州公安局</w:t>
            </w:r>
          </w:p>
        </w:tc>
        <w:tc>
          <w:tcPr>
            <w:tcW w:w="1543" w:type="dxa"/>
            <w:tcBorders>
              <w:top w:val="nil"/>
              <w:left w:val="nil"/>
              <w:bottom w:val="single" w:color="000000" w:sz="4" w:space="0"/>
              <w:right w:val="single" w:color="000000" w:sz="4" w:space="0"/>
            </w:tcBorders>
            <w:tcMar>
              <w:top w:w="0" w:type="dxa"/>
              <w:left w:w="90" w:type="dxa"/>
              <w:bottom w:w="0" w:type="dxa"/>
              <w:right w:w="90" w:type="dxa"/>
            </w:tcMar>
            <w:vAlign w:val="top"/>
          </w:tcPr>
          <w:p w14:paraId="5F465F80">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622M SDH</w:t>
            </w:r>
          </w:p>
        </w:tc>
        <w:tc>
          <w:tcPr>
            <w:tcW w:w="1409" w:type="dxa"/>
            <w:tcBorders>
              <w:top w:val="nil"/>
              <w:left w:val="nil"/>
              <w:bottom w:val="single" w:color="000000" w:sz="4" w:space="0"/>
              <w:right w:val="single" w:color="000000" w:sz="4" w:space="0"/>
            </w:tcBorders>
            <w:tcMar>
              <w:top w:w="0" w:type="dxa"/>
              <w:left w:w="90" w:type="dxa"/>
              <w:bottom w:w="0" w:type="dxa"/>
              <w:right w:w="90" w:type="dxa"/>
            </w:tcMar>
            <w:vAlign w:val="top"/>
          </w:tcPr>
          <w:p w14:paraId="2989B800">
            <w:pPr>
              <w:pStyle w:val="10"/>
              <w:spacing w:line="360" w:lineRule="auto"/>
              <w:jc w:val="both"/>
              <w:rPr>
                <w:rFonts w:hint="eastAsia" w:asciiTheme="minorEastAsia" w:hAnsiTheme="minorEastAsia" w:eastAsiaTheme="minorEastAsia" w:cstheme="minorEastAsia"/>
                <w:color w:val="auto"/>
                <w:sz w:val="24"/>
                <w:szCs w:val="24"/>
              </w:rPr>
            </w:pPr>
          </w:p>
        </w:tc>
        <w:tc>
          <w:tcPr>
            <w:tcW w:w="870" w:type="dxa"/>
            <w:tcBorders>
              <w:top w:val="nil"/>
              <w:left w:val="nil"/>
              <w:bottom w:val="single" w:color="000000" w:sz="4" w:space="0"/>
              <w:right w:val="single" w:color="000000" w:sz="4" w:space="0"/>
            </w:tcBorders>
            <w:tcMar>
              <w:top w:w="0" w:type="dxa"/>
              <w:left w:w="90" w:type="dxa"/>
              <w:bottom w:w="0" w:type="dxa"/>
              <w:right w:w="90" w:type="dxa"/>
            </w:tcMar>
            <w:vAlign w:val="top"/>
          </w:tcPr>
          <w:p w14:paraId="6BEBEAD0">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29" w:type="dxa"/>
            <w:tcBorders>
              <w:top w:val="nil"/>
              <w:left w:val="nil"/>
              <w:bottom w:val="single" w:color="000000" w:sz="4" w:space="0"/>
              <w:right w:val="single" w:color="000000" w:sz="4" w:space="0"/>
            </w:tcBorders>
            <w:tcMar>
              <w:top w:w="0" w:type="dxa"/>
              <w:left w:w="90" w:type="dxa"/>
              <w:bottom w:w="0" w:type="dxa"/>
              <w:right w:w="90" w:type="dxa"/>
            </w:tcMar>
            <w:vAlign w:val="top"/>
          </w:tcPr>
          <w:p w14:paraId="3072CEB2">
            <w:pPr>
              <w:pStyle w:val="10"/>
              <w:spacing w:line="360" w:lineRule="auto"/>
              <w:jc w:val="center"/>
              <w:rPr>
                <w:rFonts w:hint="eastAsia" w:asciiTheme="minorEastAsia" w:hAnsiTheme="minorEastAsia" w:eastAsiaTheme="minorEastAsia" w:cstheme="minorEastAsia"/>
                <w:color w:val="auto"/>
                <w:sz w:val="24"/>
                <w:szCs w:val="24"/>
              </w:rPr>
            </w:pPr>
          </w:p>
        </w:tc>
      </w:tr>
      <w:tr w14:paraId="3FB3C2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1627B25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636" w:type="dxa"/>
            <w:tcBorders>
              <w:top w:val="nil"/>
              <w:left w:val="nil"/>
              <w:bottom w:val="single" w:color="000000" w:sz="4" w:space="0"/>
              <w:right w:val="single" w:color="000000" w:sz="4" w:space="0"/>
            </w:tcBorders>
            <w:tcMar>
              <w:top w:w="0" w:type="dxa"/>
              <w:left w:w="90" w:type="dxa"/>
              <w:bottom w:w="0" w:type="dxa"/>
              <w:right w:w="90" w:type="dxa"/>
            </w:tcMar>
            <w:vAlign w:val="top"/>
          </w:tcPr>
          <w:p w14:paraId="240B5028">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487" w:type="dxa"/>
            <w:tcBorders>
              <w:top w:val="nil"/>
              <w:left w:val="nil"/>
              <w:bottom w:val="single" w:color="000000" w:sz="4" w:space="0"/>
              <w:right w:val="single" w:color="000000" w:sz="4" w:space="0"/>
            </w:tcBorders>
            <w:tcMar>
              <w:top w:w="0" w:type="dxa"/>
              <w:left w:w="90" w:type="dxa"/>
              <w:bottom w:w="0" w:type="dxa"/>
              <w:right w:w="90" w:type="dxa"/>
            </w:tcMar>
            <w:vAlign w:val="top"/>
          </w:tcPr>
          <w:p w14:paraId="5EF14482">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莆田公安局</w:t>
            </w:r>
          </w:p>
        </w:tc>
        <w:tc>
          <w:tcPr>
            <w:tcW w:w="1543" w:type="dxa"/>
            <w:tcBorders>
              <w:top w:val="nil"/>
              <w:left w:val="nil"/>
              <w:bottom w:val="single" w:color="000000" w:sz="4" w:space="0"/>
              <w:right w:val="single" w:color="000000" w:sz="4" w:space="0"/>
            </w:tcBorders>
            <w:tcMar>
              <w:top w:w="0" w:type="dxa"/>
              <w:left w:w="90" w:type="dxa"/>
              <w:bottom w:w="0" w:type="dxa"/>
              <w:right w:w="90" w:type="dxa"/>
            </w:tcMar>
            <w:vAlign w:val="top"/>
          </w:tcPr>
          <w:p w14:paraId="7602EA0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622M SDH</w:t>
            </w:r>
          </w:p>
        </w:tc>
        <w:tc>
          <w:tcPr>
            <w:tcW w:w="1409" w:type="dxa"/>
            <w:tcBorders>
              <w:top w:val="nil"/>
              <w:left w:val="nil"/>
              <w:bottom w:val="single" w:color="000000" w:sz="4" w:space="0"/>
              <w:right w:val="single" w:color="000000" w:sz="4" w:space="0"/>
            </w:tcBorders>
            <w:tcMar>
              <w:top w:w="0" w:type="dxa"/>
              <w:left w:w="90" w:type="dxa"/>
              <w:bottom w:w="0" w:type="dxa"/>
              <w:right w:w="90" w:type="dxa"/>
            </w:tcMar>
            <w:vAlign w:val="top"/>
          </w:tcPr>
          <w:p w14:paraId="5D569221">
            <w:pPr>
              <w:pStyle w:val="10"/>
              <w:spacing w:line="360" w:lineRule="auto"/>
              <w:jc w:val="both"/>
              <w:rPr>
                <w:rFonts w:hint="eastAsia" w:asciiTheme="minorEastAsia" w:hAnsiTheme="minorEastAsia" w:eastAsiaTheme="minorEastAsia" w:cstheme="minorEastAsia"/>
                <w:color w:val="auto"/>
                <w:sz w:val="24"/>
                <w:szCs w:val="24"/>
              </w:rPr>
            </w:pPr>
          </w:p>
        </w:tc>
        <w:tc>
          <w:tcPr>
            <w:tcW w:w="870" w:type="dxa"/>
            <w:tcBorders>
              <w:top w:val="nil"/>
              <w:left w:val="nil"/>
              <w:bottom w:val="single" w:color="000000" w:sz="4" w:space="0"/>
              <w:right w:val="single" w:color="000000" w:sz="4" w:space="0"/>
            </w:tcBorders>
            <w:tcMar>
              <w:top w:w="0" w:type="dxa"/>
              <w:left w:w="90" w:type="dxa"/>
              <w:bottom w:w="0" w:type="dxa"/>
              <w:right w:w="90" w:type="dxa"/>
            </w:tcMar>
            <w:vAlign w:val="top"/>
          </w:tcPr>
          <w:p w14:paraId="37E4124B">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29" w:type="dxa"/>
            <w:tcBorders>
              <w:top w:val="nil"/>
              <w:left w:val="nil"/>
              <w:bottom w:val="single" w:color="000000" w:sz="4" w:space="0"/>
              <w:right w:val="single" w:color="000000" w:sz="4" w:space="0"/>
            </w:tcBorders>
            <w:tcMar>
              <w:top w:w="0" w:type="dxa"/>
              <w:left w:w="90" w:type="dxa"/>
              <w:bottom w:w="0" w:type="dxa"/>
              <w:right w:w="90" w:type="dxa"/>
            </w:tcMar>
            <w:vAlign w:val="top"/>
          </w:tcPr>
          <w:p w14:paraId="02DFDD01">
            <w:pPr>
              <w:pStyle w:val="10"/>
              <w:spacing w:line="360" w:lineRule="auto"/>
              <w:jc w:val="center"/>
              <w:rPr>
                <w:rFonts w:hint="eastAsia" w:asciiTheme="minorEastAsia" w:hAnsiTheme="minorEastAsia" w:eastAsiaTheme="minorEastAsia" w:cstheme="minorEastAsia"/>
                <w:color w:val="auto"/>
                <w:sz w:val="24"/>
                <w:szCs w:val="24"/>
              </w:rPr>
            </w:pPr>
          </w:p>
        </w:tc>
      </w:tr>
      <w:tr w14:paraId="2A7873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F7FD77F">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636" w:type="dxa"/>
            <w:tcBorders>
              <w:top w:val="nil"/>
              <w:left w:val="nil"/>
              <w:bottom w:val="single" w:color="000000" w:sz="4" w:space="0"/>
              <w:right w:val="single" w:color="000000" w:sz="4" w:space="0"/>
            </w:tcBorders>
            <w:tcMar>
              <w:top w:w="0" w:type="dxa"/>
              <w:left w:w="90" w:type="dxa"/>
              <w:bottom w:w="0" w:type="dxa"/>
              <w:right w:w="90" w:type="dxa"/>
            </w:tcMar>
            <w:vAlign w:val="top"/>
          </w:tcPr>
          <w:p w14:paraId="7D4146C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487" w:type="dxa"/>
            <w:tcBorders>
              <w:top w:val="nil"/>
              <w:left w:val="nil"/>
              <w:bottom w:val="single" w:color="000000" w:sz="4" w:space="0"/>
              <w:right w:val="single" w:color="000000" w:sz="4" w:space="0"/>
            </w:tcBorders>
            <w:tcMar>
              <w:top w:w="0" w:type="dxa"/>
              <w:left w:w="90" w:type="dxa"/>
              <w:bottom w:w="0" w:type="dxa"/>
              <w:right w:w="90" w:type="dxa"/>
            </w:tcMar>
            <w:vAlign w:val="top"/>
          </w:tcPr>
          <w:p w14:paraId="071E232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三明公安局</w:t>
            </w:r>
          </w:p>
        </w:tc>
        <w:tc>
          <w:tcPr>
            <w:tcW w:w="1543" w:type="dxa"/>
            <w:tcBorders>
              <w:top w:val="nil"/>
              <w:left w:val="nil"/>
              <w:bottom w:val="single" w:color="000000" w:sz="4" w:space="0"/>
              <w:right w:val="single" w:color="000000" w:sz="4" w:space="0"/>
            </w:tcBorders>
            <w:tcMar>
              <w:top w:w="0" w:type="dxa"/>
              <w:left w:w="90" w:type="dxa"/>
              <w:bottom w:w="0" w:type="dxa"/>
              <w:right w:w="90" w:type="dxa"/>
            </w:tcMar>
            <w:vAlign w:val="top"/>
          </w:tcPr>
          <w:p w14:paraId="52FF912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622M SDH</w:t>
            </w:r>
          </w:p>
        </w:tc>
        <w:tc>
          <w:tcPr>
            <w:tcW w:w="1409" w:type="dxa"/>
            <w:tcBorders>
              <w:top w:val="nil"/>
              <w:left w:val="nil"/>
              <w:bottom w:val="single" w:color="000000" w:sz="4" w:space="0"/>
              <w:right w:val="single" w:color="000000" w:sz="4" w:space="0"/>
            </w:tcBorders>
            <w:tcMar>
              <w:top w:w="0" w:type="dxa"/>
              <w:left w:w="90" w:type="dxa"/>
              <w:bottom w:w="0" w:type="dxa"/>
              <w:right w:w="90" w:type="dxa"/>
            </w:tcMar>
            <w:vAlign w:val="top"/>
          </w:tcPr>
          <w:p w14:paraId="1850E36C">
            <w:pPr>
              <w:pStyle w:val="10"/>
              <w:spacing w:line="360" w:lineRule="auto"/>
              <w:jc w:val="both"/>
              <w:rPr>
                <w:rFonts w:hint="eastAsia" w:asciiTheme="minorEastAsia" w:hAnsiTheme="minorEastAsia" w:eastAsiaTheme="minorEastAsia" w:cstheme="minorEastAsia"/>
                <w:color w:val="auto"/>
                <w:sz w:val="24"/>
                <w:szCs w:val="24"/>
              </w:rPr>
            </w:pPr>
          </w:p>
        </w:tc>
        <w:tc>
          <w:tcPr>
            <w:tcW w:w="870" w:type="dxa"/>
            <w:tcBorders>
              <w:top w:val="nil"/>
              <w:left w:val="nil"/>
              <w:bottom w:val="single" w:color="000000" w:sz="4" w:space="0"/>
              <w:right w:val="single" w:color="000000" w:sz="4" w:space="0"/>
            </w:tcBorders>
            <w:tcMar>
              <w:top w:w="0" w:type="dxa"/>
              <w:left w:w="90" w:type="dxa"/>
              <w:bottom w:w="0" w:type="dxa"/>
              <w:right w:w="90" w:type="dxa"/>
            </w:tcMar>
            <w:vAlign w:val="top"/>
          </w:tcPr>
          <w:p w14:paraId="5C7CC24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29" w:type="dxa"/>
            <w:tcBorders>
              <w:top w:val="nil"/>
              <w:left w:val="nil"/>
              <w:bottom w:val="single" w:color="000000" w:sz="4" w:space="0"/>
              <w:right w:val="single" w:color="000000" w:sz="4" w:space="0"/>
            </w:tcBorders>
            <w:tcMar>
              <w:top w:w="0" w:type="dxa"/>
              <w:left w:w="90" w:type="dxa"/>
              <w:bottom w:w="0" w:type="dxa"/>
              <w:right w:w="90" w:type="dxa"/>
            </w:tcMar>
            <w:vAlign w:val="top"/>
          </w:tcPr>
          <w:p w14:paraId="75E7B913">
            <w:pPr>
              <w:pStyle w:val="10"/>
              <w:spacing w:line="360" w:lineRule="auto"/>
              <w:jc w:val="center"/>
              <w:rPr>
                <w:rFonts w:hint="eastAsia" w:asciiTheme="minorEastAsia" w:hAnsiTheme="minorEastAsia" w:eastAsiaTheme="minorEastAsia" w:cstheme="minorEastAsia"/>
                <w:color w:val="auto"/>
                <w:sz w:val="24"/>
                <w:szCs w:val="24"/>
              </w:rPr>
            </w:pPr>
          </w:p>
        </w:tc>
      </w:tr>
      <w:tr w14:paraId="38DD41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4D90C5A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636" w:type="dxa"/>
            <w:tcBorders>
              <w:top w:val="nil"/>
              <w:left w:val="nil"/>
              <w:bottom w:val="single" w:color="000000" w:sz="4" w:space="0"/>
              <w:right w:val="single" w:color="000000" w:sz="4" w:space="0"/>
            </w:tcBorders>
            <w:tcMar>
              <w:top w:w="0" w:type="dxa"/>
              <w:left w:w="90" w:type="dxa"/>
              <w:bottom w:w="0" w:type="dxa"/>
              <w:right w:w="90" w:type="dxa"/>
            </w:tcMar>
            <w:vAlign w:val="top"/>
          </w:tcPr>
          <w:p w14:paraId="498ECFF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487" w:type="dxa"/>
            <w:tcBorders>
              <w:top w:val="nil"/>
              <w:left w:val="nil"/>
              <w:bottom w:val="single" w:color="000000" w:sz="4" w:space="0"/>
              <w:right w:val="single" w:color="000000" w:sz="4" w:space="0"/>
            </w:tcBorders>
            <w:tcMar>
              <w:top w:w="0" w:type="dxa"/>
              <w:left w:w="90" w:type="dxa"/>
              <w:bottom w:w="0" w:type="dxa"/>
              <w:right w:w="90" w:type="dxa"/>
            </w:tcMar>
            <w:vAlign w:val="top"/>
          </w:tcPr>
          <w:p w14:paraId="5B367E84">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南平公安局</w:t>
            </w:r>
          </w:p>
        </w:tc>
        <w:tc>
          <w:tcPr>
            <w:tcW w:w="1543" w:type="dxa"/>
            <w:tcBorders>
              <w:top w:val="nil"/>
              <w:left w:val="nil"/>
              <w:bottom w:val="single" w:color="000000" w:sz="4" w:space="0"/>
              <w:right w:val="single" w:color="000000" w:sz="4" w:space="0"/>
            </w:tcBorders>
            <w:tcMar>
              <w:top w:w="0" w:type="dxa"/>
              <w:left w:w="90" w:type="dxa"/>
              <w:bottom w:w="0" w:type="dxa"/>
              <w:right w:w="90" w:type="dxa"/>
            </w:tcMar>
            <w:vAlign w:val="top"/>
          </w:tcPr>
          <w:p w14:paraId="715287E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622M SDH</w:t>
            </w:r>
          </w:p>
        </w:tc>
        <w:tc>
          <w:tcPr>
            <w:tcW w:w="1409" w:type="dxa"/>
            <w:tcBorders>
              <w:top w:val="nil"/>
              <w:left w:val="nil"/>
              <w:bottom w:val="single" w:color="000000" w:sz="4" w:space="0"/>
              <w:right w:val="single" w:color="000000" w:sz="4" w:space="0"/>
            </w:tcBorders>
            <w:tcMar>
              <w:top w:w="0" w:type="dxa"/>
              <w:left w:w="90" w:type="dxa"/>
              <w:bottom w:w="0" w:type="dxa"/>
              <w:right w:w="90" w:type="dxa"/>
            </w:tcMar>
            <w:vAlign w:val="top"/>
          </w:tcPr>
          <w:p w14:paraId="1052886B">
            <w:pPr>
              <w:pStyle w:val="10"/>
              <w:spacing w:line="360" w:lineRule="auto"/>
              <w:jc w:val="both"/>
              <w:rPr>
                <w:rFonts w:hint="eastAsia" w:asciiTheme="minorEastAsia" w:hAnsiTheme="minorEastAsia" w:eastAsiaTheme="minorEastAsia" w:cstheme="minorEastAsia"/>
                <w:color w:val="auto"/>
                <w:sz w:val="24"/>
                <w:szCs w:val="24"/>
              </w:rPr>
            </w:pPr>
          </w:p>
        </w:tc>
        <w:tc>
          <w:tcPr>
            <w:tcW w:w="870" w:type="dxa"/>
            <w:tcBorders>
              <w:top w:val="nil"/>
              <w:left w:val="nil"/>
              <w:bottom w:val="single" w:color="000000" w:sz="4" w:space="0"/>
              <w:right w:val="single" w:color="000000" w:sz="4" w:space="0"/>
            </w:tcBorders>
            <w:tcMar>
              <w:top w:w="0" w:type="dxa"/>
              <w:left w:w="90" w:type="dxa"/>
              <w:bottom w:w="0" w:type="dxa"/>
              <w:right w:w="90" w:type="dxa"/>
            </w:tcMar>
            <w:vAlign w:val="top"/>
          </w:tcPr>
          <w:p w14:paraId="0A190346">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29" w:type="dxa"/>
            <w:tcBorders>
              <w:top w:val="nil"/>
              <w:left w:val="nil"/>
              <w:bottom w:val="single" w:color="000000" w:sz="4" w:space="0"/>
              <w:right w:val="single" w:color="000000" w:sz="4" w:space="0"/>
            </w:tcBorders>
            <w:tcMar>
              <w:top w:w="0" w:type="dxa"/>
              <w:left w:w="90" w:type="dxa"/>
              <w:bottom w:w="0" w:type="dxa"/>
              <w:right w:w="90" w:type="dxa"/>
            </w:tcMar>
            <w:vAlign w:val="top"/>
          </w:tcPr>
          <w:p w14:paraId="277A1D3D">
            <w:pPr>
              <w:pStyle w:val="10"/>
              <w:spacing w:line="360" w:lineRule="auto"/>
              <w:jc w:val="center"/>
              <w:rPr>
                <w:rFonts w:hint="eastAsia" w:asciiTheme="minorEastAsia" w:hAnsiTheme="minorEastAsia" w:eastAsiaTheme="minorEastAsia" w:cstheme="minorEastAsia"/>
                <w:color w:val="auto"/>
                <w:sz w:val="24"/>
                <w:szCs w:val="24"/>
              </w:rPr>
            </w:pPr>
          </w:p>
        </w:tc>
      </w:tr>
      <w:tr w14:paraId="0085BA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9939B8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1636" w:type="dxa"/>
            <w:tcBorders>
              <w:top w:val="nil"/>
              <w:left w:val="nil"/>
              <w:bottom w:val="single" w:color="000000" w:sz="4" w:space="0"/>
              <w:right w:val="single" w:color="000000" w:sz="4" w:space="0"/>
            </w:tcBorders>
            <w:tcMar>
              <w:top w:w="0" w:type="dxa"/>
              <w:left w:w="90" w:type="dxa"/>
              <w:bottom w:w="0" w:type="dxa"/>
              <w:right w:w="90" w:type="dxa"/>
            </w:tcMar>
            <w:vAlign w:val="top"/>
          </w:tcPr>
          <w:p w14:paraId="1658635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487" w:type="dxa"/>
            <w:tcBorders>
              <w:top w:val="nil"/>
              <w:left w:val="nil"/>
              <w:bottom w:val="single" w:color="000000" w:sz="4" w:space="0"/>
              <w:right w:val="single" w:color="000000" w:sz="4" w:space="0"/>
            </w:tcBorders>
            <w:tcMar>
              <w:top w:w="0" w:type="dxa"/>
              <w:left w:w="90" w:type="dxa"/>
              <w:bottom w:w="0" w:type="dxa"/>
              <w:right w:w="90" w:type="dxa"/>
            </w:tcMar>
            <w:vAlign w:val="top"/>
          </w:tcPr>
          <w:p w14:paraId="50697390">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龙岩公安局</w:t>
            </w:r>
          </w:p>
        </w:tc>
        <w:tc>
          <w:tcPr>
            <w:tcW w:w="1543" w:type="dxa"/>
            <w:tcBorders>
              <w:top w:val="nil"/>
              <w:left w:val="nil"/>
              <w:bottom w:val="single" w:color="000000" w:sz="4" w:space="0"/>
              <w:right w:val="single" w:color="000000" w:sz="4" w:space="0"/>
            </w:tcBorders>
            <w:tcMar>
              <w:top w:w="0" w:type="dxa"/>
              <w:left w:w="90" w:type="dxa"/>
              <w:bottom w:w="0" w:type="dxa"/>
              <w:right w:w="90" w:type="dxa"/>
            </w:tcMar>
            <w:vAlign w:val="top"/>
          </w:tcPr>
          <w:p w14:paraId="7F06233E">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622M SDH</w:t>
            </w:r>
          </w:p>
        </w:tc>
        <w:tc>
          <w:tcPr>
            <w:tcW w:w="1409" w:type="dxa"/>
            <w:tcBorders>
              <w:top w:val="nil"/>
              <w:left w:val="nil"/>
              <w:bottom w:val="single" w:color="000000" w:sz="4" w:space="0"/>
              <w:right w:val="single" w:color="000000" w:sz="4" w:space="0"/>
            </w:tcBorders>
            <w:tcMar>
              <w:top w:w="0" w:type="dxa"/>
              <w:left w:w="90" w:type="dxa"/>
              <w:bottom w:w="0" w:type="dxa"/>
              <w:right w:w="90" w:type="dxa"/>
            </w:tcMar>
            <w:vAlign w:val="top"/>
          </w:tcPr>
          <w:p w14:paraId="2DDE5091">
            <w:pPr>
              <w:pStyle w:val="10"/>
              <w:spacing w:line="360" w:lineRule="auto"/>
              <w:jc w:val="both"/>
              <w:rPr>
                <w:rFonts w:hint="eastAsia" w:asciiTheme="minorEastAsia" w:hAnsiTheme="minorEastAsia" w:eastAsiaTheme="minorEastAsia" w:cstheme="minorEastAsia"/>
                <w:color w:val="auto"/>
                <w:sz w:val="24"/>
                <w:szCs w:val="24"/>
              </w:rPr>
            </w:pPr>
          </w:p>
        </w:tc>
        <w:tc>
          <w:tcPr>
            <w:tcW w:w="870" w:type="dxa"/>
            <w:tcBorders>
              <w:top w:val="nil"/>
              <w:left w:val="nil"/>
              <w:bottom w:val="single" w:color="000000" w:sz="4" w:space="0"/>
              <w:right w:val="single" w:color="000000" w:sz="4" w:space="0"/>
            </w:tcBorders>
            <w:tcMar>
              <w:top w:w="0" w:type="dxa"/>
              <w:left w:w="90" w:type="dxa"/>
              <w:bottom w:w="0" w:type="dxa"/>
              <w:right w:w="90" w:type="dxa"/>
            </w:tcMar>
            <w:vAlign w:val="top"/>
          </w:tcPr>
          <w:p w14:paraId="45922056">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29" w:type="dxa"/>
            <w:tcBorders>
              <w:top w:val="nil"/>
              <w:left w:val="nil"/>
              <w:bottom w:val="single" w:color="000000" w:sz="4" w:space="0"/>
              <w:right w:val="single" w:color="000000" w:sz="4" w:space="0"/>
            </w:tcBorders>
            <w:tcMar>
              <w:top w:w="0" w:type="dxa"/>
              <w:left w:w="90" w:type="dxa"/>
              <w:bottom w:w="0" w:type="dxa"/>
              <w:right w:w="90" w:type="dxa"/>
            </w:tcMar>
            <w:vAlign w:val="top"/>
          </w:tcPr>
          <w:p w14:paraId="7AD7817B">
            <w:pPr>
              <w:pStyle w:val="10"/>
              <w:spacing w:line="360" w:lineRule="auto"/>
              <w:jc w:val="center"/>
              <w:rPr>
                <w:rFonts w:hint="eastAsia" w:asciiTheme="minorEastAsia" w:hAnsiTheme="minorEastAsia" w:eastAsiaTheme="minorEastAsia" w:cstheme="minorEastAsia"/>
                <w:color w:val="auto"/>
                <w:sz w:val="24"/>
                <w:szCs w:val="24"/>
              </w:rPr>
            </w:pPr>
          </w:p>
        </w:tc>
      </w:tr>
      <w:tr w14:paraId="374E19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0D5B7CD">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1636" w:type="dxa"/>
            <w:tcBorders>
              <w:top w:val="nil"/>
              <w:left w:val="nil"/>
              <w:bottom w:val="single" w:color="000000" w:sz="4" w:space="0"/>
              <w:right w:val="single" w:color="000000" w:sz="4" w:space="0"/>
            </w:tcBorders>
            <w:tcMar>
              <w:top w:w="0" w:type="dxa"/>
              <w:left w:w="90" w:type="dxa"/>
              <w:bottom w:w="0" w:type="dxa"/>
              <w:right w:w="90" w:type="dxa"/>
            </w:tcMar>
            <w:vAlign w:val="top"/>
          </w:tcPr>
          <w:p w14:paraId="59FA291E">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487" w:type="dxa"/>
            <w:tcBorders>
              <w:top w:val="nil"/>
              <w:left w:val="nil"/>
              <w:bottom w:val="single" w:color="000000" w:sz="4" w:space="0"/>
              <w:right w:val="single" w:color="000000" w:sz="4" w:space="0"/>
            </w:tcBorders>
            <w:tcMar>
              <w:top w:w="0" w:type="dxa"/>
              <w:left w:w="90" w:type="dxa"/>
              <w:bottom w:w="0" w:type="dxa"/>
              <w:right w:w="90" w:type="dxa"/>
            </w:tcMar>
            <w:vAlign w:val="top"/>
          </w:tcPr>
          <w:p w14:paraId="6A193D46">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宁德公安局</w:t>
            </w:r>
          </w:p>
        </w:tc>
        <w:tc>
          <w:tcPr>
            <w:tcW w:w="1543" w:type="dxa"/>
            <w:tcBorders>
              <w:top w:val="nil"/>
              <w:left w:val="nil"/>
              <w:bottom w:val="single" w:color="000000" w:sz="4" w:space="0"/>
              <w:right w:val="single" w:color="000000" w:sz="4" w:space="0"/>
            </w:tcBorders>
            <w:tcMar>
              <w:top w:w="0" w:type="dxa"/>
              <w:left w:w="90" w:type="dxa"/>
              <w:bottom w:w="0" w:type="dxa"/>
              <w:right w:w="90" w:type="dxa"/>
            </w:tcMar>
            <w:vAlign w:val="top"/>
          </w:tcPr>
          <w:p w14:paraId="44FF2CDE">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622M SDH</w:t>
            </w:r>
          </w:p>
        </w:tc>
        <w:tc>
          <w:tcPr>
            <w:tcW w:w="1409" w:type="dxa"/>
            <w:tcBorders>
              <w:top w:val="nil"/>
              <w:left w:val="nil"/>
              <w:bottom w:val="single" w:color="000000" w:sz="4" w:space="0"/>
              <w:right w:val="single" w:color="000000" w:sz="4" w:space="0"/>
            </w:tcBorders>
            <w:tcMar>
              <w:top w:w="0" w:type="dxa"/>
              <w:left w:w="90" w:type="dxa"/>
              <w:bottom w:w="0" w:type="dxa"/>
              <w:right w:w="90" w:type="dxa"/>
            </w:tcMar>
            <w:vAlign w:val="top"/>
          </w:tcPr>
          <w:p w14:paraId="3D368368">
            <w:pPr>
              <w:pStyle w:val="10"/>
              <w:spacing w:line="360" w:lineRule="auto"/>
              <w:jc w:val="both"/>
              <w:rPr>
                <w:rFonts w:hint="eastAsia" w:asciiTheme="minorEastAsia" w:hAnsiTheme="minorEastAsia" w:eastAsiaTheme="minorEastAsia" w:cstheme="minorEastAsia"/>
                <w:color w:val="auto"/>
                <w:sz w:val="24"/>
                <w:szCs w:val="24"/>
              </w:rPr>
            </w:pPr>
          </w:p>
        </w:tc>
        <w:tc>
          <w:tcPr>
            <w:tcW w:w="870" w:type="dxa"/>
            <w:tcBorders>
              <w:top w:val="nil"/>
              <w:left w:val="nil"/>
              <w:bottom w:val="single" w:color="000000" w:sz="4" w:space="0"/>
              <w:right w:val="single" w:color="000000" w:sz="4" w:space="0"/>
            </w:tcBorders>
            <w:tcMar>
              <w:top w:w="0" w:type="dxa"/>
              <w:left w:w="90" w:type="dxa"/>
              <w:bottom w:w="0" w:type="dxa"/>
              <w:right w:w="90" w:type="dxa"/>
            </w:tcMar>
            <w:vAlign w:val="top"/>
          </w:tcPr>
          <w:p w14:paraId="7300D8D1">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29" w:type="dxa"/>
            <w:tcBorders>
              <w:top w:val="nil"/>
              <w:left w:val="nil"/>
              <w:bottom w:val="single" w:color="000000" w:sz="4" w:space="0"/>
              <w:right w:val="single" w:color="000000" w:sz="4" w:space="0"/>
            </w:tcBorders>
            <w:tcMar>
              <w:top w:w="0" w:type="dxa"/>
              <w:left w:w="90" w:type="dxa"/>
              <w:bottom w:w="0" w:type="dxa"/>
              <w:right w:w="90" w:type="dxa"/>
            </w:tcMar>
            <w:vAlign w:val="top"/>
          </w:tcPr>
          <w:p w14:paraId="5EC56A96">
            <w:pPr>
              <w:pStyle w:val="10"/>
              <w:spacing w:line="360" w:lineRule="auto"/>
              <w:jc w:val="center"/>
              <w:rPr>
                <w:rFonts w:hint="eastAsia" w:asciiTheme="minorEastAsia" w:hAnsiTheme="minorEastAsia" w:eastAsiaTheme="minorEastAsia" w:cstheme="minorEastAsia"/>
                <w:color w:val="auto"/>
                <w:sz w:val="24"/>
                <w:szCs w:val="24"/>
              </w:rPr>
            </w:pPr>
          </w:p>
        </w:tc>
      </w:tr>
      <w:tr w14:paraId="10963D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2A24F17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1636" w:type="dxa"/>
            <w:tcBorders>
              <w:top w:val="nil"/>
              <w:left w:val="nil"/>
              <w:bottom w:val="single" w:color="000000" w:sz="4" w:space="0"/>
              <w:right w:val="single" w:color="000000" w:sz="4" w:space="0"/>
            </w:tcBorders>
            <w:tcMar>
              <w:top w:w="0" w:type="dxa"/>
              <w:left w:w="90" w:type="dxa"/>
              <w:bottom w:w="0" w:type="dxa"/>
              <w:right w:w="90" w:type="dxa"/>
            </w:tcMar>
            <w:vAlign w:val="top"/>
          </w:tcPr>
          <w:p w14:paraId="7758F74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487" w:type="dxa"/>
            <w:tcBorders>
              <w:top w:val="nil"/>
              <w:left w:val="nil"/>
              <w:bottom w:val="single" w:color="000000" w:sz="4" w:space="0"/>
              <w:right w:val="single" w:color="000000" w:sz="4" w:space="0"/>
            </w:tcBorders>
            <w:tcMar>
              <w:top w:w="0" w:type="dxa"/>
              <w:left w:w="90" w:type="dxa"/>
              <w:bottom w:w="0" w:type="dxa"/>
              <w:right w:w="90" w:type="dxa"/>
            </w:tcMar>
            <w:vAlign w:val="top"/>
          </w:tcPr>
          <w:p w14:paraId="56F6AF3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平潭公安局</w:t>
            </w:r>
          </w:p>
        </w:tc>
        <w:tc>
          <w:tcPr>
            <w:tcW w:w="1543" w:type="dxa"/>
            <w:tcBorders>
              <w:top w:val="nil"/>
              <w:left w:val="nil"/>
              <w:bottom w:val="single" w:color="000000" w:sz="4" w:space="0"/>
              <w:right w:val="single" w:color="000000" w:sz="4" w:space="0"/>
            </w:tcBorders>
            <w:tcMar>
              <w:top w:w="0" w:type="dxa"/>
              <w:left w:w="90" w:type="dxa"/>
              <w:bottom w:w="0" w:type="dxa"/>
              <w:right w:w="90" w:type="dxa"/>
            </w:tcMar>
            <w:vAlign w:val="top"/>
          </w:tcPr>
          <w:p w14:paraId="55647DCF">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622M SDH</w:t>
            </w:r>
          </w:p>
        </w:tc>
        <w:tc>
          <w:tcPr>
            <w:tcW w:w="1409" w:type="dxa"/>
            <w:tcBorders>
              <w:top w:val="nil"/>
              <w:left w:val="nil"/>
              <w:bottom w:val="single" w:color="000000" w:sz="4" w:space="0"/>
              <w:right w:val="single" w:color="000000" w:sz="4" w:space="0"/>
            </w:tcBorders>
            <w:tcMar>
              <w:top w:w="0" w:type="dxa"/>
              <w:left w:w="90" w:type="dxa"/>
              <w:bottom w:w="0" w:type="dxa"/>
              <w:right w:w="90" w:type="dxa"/>
            </w:tcMar>
            <w:vAlign w:val="top"/>
          </w:tcPr>
          <w:p w14:paraId="115AF828">
            <w:pPr>
              <w:pStyle w:val="10"/>
              <w:spacing w:line="360" w:lineRule="auto"/>
              <w:jc w:val="both"/>
              <w:rPr>
                <w:rFonts w:hint="eastAsia" w:asciiTheme="minorEastAsia" w:hAnsiTheme="minorEastAsia" w:eastAsiaTheme="minorEastAsia" w:cstheme="minorEastAsia"/>
                <w:color w:val="auto"/>
                <w:sz w:val="24"/>
                <w:szCs w:val="24"/>
              </w:rPr>
            </w:pPr>
          </w:p>
        </w:tc>
        <w:tc>
          <w:tcPr>
            <w:tcW w:w="870" w:type="dxa"/>
            <w:tcBorders>
              <w:top w:val="nil"/>
              <w:left w:val="nil"/>
              <w:bottom w:val="single" w:color="000000" w:sz="4" w:space="0"/>
              <w:right w:val="single" w:color="000000" w:sz="4" w:space="0"/>
            </w:tcBorders>
            <w:tcMar>
              <w:top w:w="0" w:type="dxa"/>
              <w:left w:w="90" w:type="dxa"/>
              <w:bottom w:w="0" w:type="dxa"/>
              <w:right w:w="90" w:type="dxa"/>
            </w:tcMar>
            <w:vAlign w:val="top"/>
          </w:tcPr>
          <w:p w14:paraId="7B9EF69F">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29" w:type="dxa"/>
            <w:tcBorders>
              <w:top w:val="nil"/>
              <w:left w:val="nil"/>
              <w:bottom w:val="single" w:color="000000" w:sz="4" w:space="0"/>
              <w:right w:val="single" w:color="000000" w:sz="4" w:space="0"/>
            </w:tcBorders>
            <w:tcMar>
              <w:top w:w="0" w:type="dxa"/>
              <w:left w:w="90" w:type="dxa"/>
              <w:bottom w:w="0" w:type="dxa"/>
              <w:right w:w="90" w:type="dxa"/>
            </w:tcMar>
            <w:vAlign w:val="top"/>
          </w:tcPr>
          <w:p w14:paraId="12E296DE">
            <w:pPr>
              <w:pStyle w:val="10"/>
              <w:spacing w:line="360" w:lineRule="auto"/>
              <w:jc w:val="center"/>
              <w:rPr>
                <w:rFonts w:hint="eastAsia" w:asciiTheme="minorEastAsia" w:hAnsiTheme="minorEastAsia" w:eastAsiaTheme="minorEastAsia" w:cstheme="minorEastAsia"/>
                <w:color w:val="auto"/>
                <w:sz w:val="24"/>
                <w:szCs w:val="24"/>
              </w:rPr>
            </w:pPr>
          </w:p>
        </w:tc>
      </w:tr>
      <w:tr w14:paraId="35C368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0CAB06F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1636" w:type="dxa"/>
            <w:tcBorders>
              <w:top w:val="nil"/>
              <w:left w:val="nil"/>
              <w:bottom w:val="single" w:color="000000" w:sz="4" w:space="0"/>
              <w:right w:val="single" w:color="000000" w:sz="4" w:space="0"/>
            </w:tcBorders>
            <w:tcMar>
              <w:top w:w="0" w:type="dxa"/>
              <w:left w:w="90" w:type="dxa"/>
              <w:bottom w:w="0" w:type="dxa"/>
              <w:right w:w="90" w:type="dxa"/>
            </w:tcMar>
            <w:vAlign w:val="top"/>
          </w:tcPr>
          <w:p w14:paraId="1E20087D">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487" w:type="dxa"/>
            <w:tcBorders>
              <w:top w:val="nil"/>
              <w:left w:val="nil"/>
              <w:bottom w:val="single" w:color="000000" w:sz="4" w:space="0"/>
              <w:right w:val="single" w:color="000000" w:sz="4" w:space="0"/>
            </w:tcBorders>
            <w:tcMar>
              <w:top w:w="0" w:type="dxa"/>
              <w:left w:w="90" w:type="dxa"/>
              <w:bottom w:w="0" w:type="dxa"/>
              <w:right w:w="90" w:type="dxa"/>
            </w:tcMar>
            <w:vAlign w:val="top"/>
          </w:tcPr>
          <w:p w14:paraId="201149BB">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w:t>
            </w:r>
            <w:r>
              <w:rPr>
                <w:rFonts w:hint="eastAsia" w:asciiTheme="minorEastAsia" w:hAnsiTheme="minorEastAsia" w:cstheme="minorEastAsia"/>
                <w:color w:val="auto"/>
                <w:sz w:val="24"/>
                <w:szCs w:val="24"/>
                <w:lang w:val="en-US" w:eastAsia="zh-CN"/>
              </w:rPr>
              <w:t>TQ</w:t>
            </w:r>
            <w:r>
              <w:rPr>
                <w:rFonts w:hint="eastAsia" w:asciiTheme="minorEastAsia" w:hAnsiTheme="minorEastAsia" w:eastAsiaTheme="minorEastAsia" w:cstheme="minorEastAsia"/>
                <w:color w:val="auto"/>
                <w:sz w:val="24"/>
                <w:szCs w:val="24"/>
              </w:rPr>
              <w:t>局</w:t>
            </w:r>
          </w:p>
        </w:tc>
        <w:tc>
          <w:tcPr>
            <w:tcW w:w="1543" w:type="dxa"/>
            <w:tcBorders>
              <w:top w:val="nil"/>
              <w:left w:val="nil"/>
              <w:bottom w:val="single" w:color="000000" w:sz="4" w:space="0"/>
              <w:right w:val="single" w:color="000000" w:sz="4" w:space="0"/>
            </w:tcBorders>
            <w:tcMar>
              <w:top w:w="0" w:type="dxa"/>
              <w:left w:w="90" w:type="dxa"/>
              <w:bottom w:w="0" w:type="dxa"/>
              <w:right w:w="90" w:type="dxa"/>
            </w:tcMar>
            <w:vAlign w:val="top"/>
          </w:tcPr>
          <w:p w14:paraId="51304C7B">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155</w:t>
            </w:r>
            <w:r>
              <w:rPr>
                <w:rFonts w:hint="eastAsia" w:asciiTheme="minorEastAsia" w:hAnsiTheme="minorEastAsia" w:eastAsiaTheme="minorEastAsia" w:cstheme="minorEastAsia"/>
                <w:color w:val="auto"/>
                <w:sz w:val="24"/>
                <w:szCs w:val="24"/>
              </w:rPr>
              <w:t>M SDH</w:t>
            </w:r>
          </w:p>
        </w:tc>
        <w:tc>
          <w:tcPr>
            <w:tcW w:w="1409" w:type="dxa"/>
            <w:tcBorders>
              <w:top w:val="nil"/>
              <w:left w:val="nil"/>
              <w:bottom w:val="single" w:color="000000" w:sz="4" w:space="0"/>
              <w:right w:val="single" w:color="000000" w:sz="4" w:space="0"/>
            </w:tcBorders>
            <w:tcMar>
              <w:top w:w="0" w:type="dxa"/>
              <w:left w:w="90" w:type="dxa"/>
              <w:bottom w:w="0" w:type="dxa"/>
              <w:right w:w="90" w:type="dxa"/>
            </w:tcMar>
            <w:vAlign w:val="top"/>
          </w:tcPr>
          <w:p w14:paraId="44A2E0E3">
            <w:pPr>
              <w:pStyle w:val="10"/>
              <w:spacing w:line="360" w:lineRule="auto"/>
              <w:jc w:val="both"/>
              <w:rPr>
                <w:rFonts w:hint="eastAsia" w:asciiTheme="minorEastAsia" w:hAnsiTheme="minorEastAsia" w:eastAsiaTheme="minorEastAsia" w:cstheme="minorEastAsia"/>
                <w:color w:val="auto"/>
                <w:sz w:val="24"/>
                <w:szCs w:val="24"/>
              </w:rPr>
            </w:pPr>
          </w:p>
        </w:tc>
        <w:tc>
          <w:tcPr>
            <w:tcW w:w="870" w:type="dxa"/>
            <w:tcBorders>
              <w:top w:val="nil"/>
              <w:left w:val="nil"/>
              <w:bottom w:val="single" w:color="000000" w:sz="4" w:space="0"/>
              <w:right w:val="single" w:color="000000" w:sz="4" w:space="0"/>
            </w:tcBorders>
            <w:tcMar>
              <w:top w:w="0" w:type="dxa"/>
              <w:left w:w="90" w:type="dxa"/>
              <w:bottom w:w="0" w:type="dxa"/>
              <w:right w:w="90" w:type="dxa"/>
            </w:tcMar>
            <w:vAlign w:val="top"/>
          </w:tcPr>
          <w:p w14:paraId="59A225CA">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29" w:type="dxa"/>
            <w:tcBorders>
              <w:top w:val="nil"/>
              <w:left w:val="nil"/>
              <w:bottom w:val="single" w:color="000000" w:sz="4" w:space="0"/>
              <w:right w:val="single" w:color="000000" w:sz="4" w:space="0"/>
            </w:tcBorders>
            <w:tcMar>
              <w:top w:w="0" w:type="dxa"/>
              <w:left w:w="90" w:type="dxa"/>
              <w:bottom w:w="0" w:type="dxa"/>
              <w:right w:w="90" w:type="dxa"/>
            </w:tcMar>
            <w:vAlign w:val="top"/>
          </w:tcPr>
          <w:p w14:paraId="4A7B1382">
            <w:pPr>
              <w:pStyle w:val="10"/>
              <w:spacing w:line="360" w:lineRule="auto"/>
              <w:jc w:val="center"/>
              <w:rPr>
                <w:rFonts w:hint="eastAsia" w:asciiTheme="minorEastAsia" w:hAnsiTheme="minorEastAsia" w:eastAsiaTheme="minorEastAsia" w:cstheme="minorEastAsia"/>
                <w:color w:val="auto"/>
                <w:sz w:val="24"/>
                <w:szCs w:val="24"/>
              </w:rPr>
            </w:pPr>
          </w:p>
        </w:tc>
      </w:tr>
      <w:tr w14:paraId="71E492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6A568EA2">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1636" w:type="dxa"/>
            <w:tcBorders>
              <w:top w:val="nil"/>
              <w:left w:val="nil"/>
              <w:bottom w:val="single" w:color="000000" w:sz="4" w:space="0"/>
              <w:right w:val="single" w:color="000000" w:sz="4" w:space="0"/>
            </w:tcBorders>
            <w:tcMar>
              <w:top w:w="0" w:type="dxa"/>
              <w:left w:w="90" w:type="dxa"/>
              <w:bottom w:w="0" w:type="dxa"/>
              <w:right w:w="90" w:type="dxa"/>
            </w:tcMar>
            <w:vAlign w:val="top"/>
          </w:tcPr>
          <w:p w14:paraId="5B5EFB6A">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487" w:type="dxa"/>
            <w:tcBorders>
              <w:top w:val="nil"/>
              <w:left w:val="nil"/>
              <w:bottom w:val="single" w:color="000000" w:sz="4" w:space="0"/>
              <w:right w:val="single" w:color="000000" w:sz="4" w:space="0"/>
            </w:tcBorders>
            <w:tcMar>
              <w:top w:w="0" w:type="dxa"/>
              <w:left w:w="90" w:type="dxa"/>
              <w:bottom w:w="0" w:type="dxa"/>
              <w:right w:w="90" w:type="dxa"/>
            </w:tcMar>
            <w:vAlign w:val="top"/>
          </w:tcPr>
          <w:p w14:paraId="6494CDD9">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省交警总队</w:t>
            </w:r>
          </w:p>
        </w:tc>
        <w:tc>
          <w:tcPr>
            <w:tcW w:w="1543" w:type="dxa"/>
            <w:tcBorders>
              <w:top w:val="nil"/>
              <w:left w:val="nil"/>
              <w:bottom w:val="single" w:color="000000" w:sz="4" w:space="0"/>
              <w:right w:val="single" w:color="000000" w:sz="4" w:space="0"/>
            </w:tcBorders>
            <w:tcMar>
              <w:top w:w="0" w:type="dxa"/>
              <w:left w:w="90" w:type="dxa"/>
              <w:bottom w:w="0" w:type="dxa"/>
              <w:right w:w="90" w:type="dxa"/>
            </w:tcMar>
            <w:vAlign w:val="top"/>
          </w:tcPr>
          <w:p w14:paraId="0D6064DE">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155</w:t>
            </w:r>
            <w:r>
              <w:rPr>
                <w:rFonts w:hint="eastAsia" w:asciiTheme="minorEastAsia" w:hAnsiTheme="minorEastAsia" w:eastAsiaTheme="minorEastAsia" w:cstheme="minorEastAsia"/>
                <w:color w:val="auto"/>
                <w:sz w:val="24"/>
                <w:szCs w:val="24"/>
              </w:rPr>
              <w:t>M SDH</w:t>
            </w:r>
          </w:p>
        </w:tc>
        <w:tc>
          <w:tcPr>
            <w:tcW w:w="1409" w:type="dxa"/>
            <w:tcBorders>
              <w:top w:val="nil"/>
              <w:left w:val="nil"/>
              <w:bottom w:val="single" w:color="000000" w:sz="4" w:space="0"/>
              <w:right w:val="single" w:color="000000" w:sz="4" w:space="0"/>
            </w:tcBorders>
            <w:tcMar>
              <w:top w:w="0" w:type="dxa"/>
              <w:left w:w="90" w:type="dxa"/>
              <w:bottom w:w="0" w:type="dxa"/>
              <w:right w:w="90" w:type="dxa"/>
            </w:tcMar>
            <w:vAlign w:val="top"/>
          </w:tcPr>
          <w:p w14:paraId="340CF9C8">
            <w:pPr>
              <w:pStyle w:val="10"/>
              <w:spacing w:line="360" w:lineRule="auto"/>
              <w:jc w:val="both"/>
              <w:rPr>
                <w:rFonts w:hint="eastAsia" w:asciiTheme="minorEastAsia" w:hAnsiTheme="minorEastAsia" w:eastAsiaTheme="minorEastAsia" w:cstheme="minorEastAsia"/>
                <w:color w:val="auto"/>
                <w:sz w:val="24"/>
                <w:szCs w:val="24"/>
              </w:rPr>
            </w:pPr>
          </w:p>
        </w:tc>
        <w:tc>
          <w:tcPr>
            <w:tcW w:w="870" w:type="dxa"/>
            <w:tcBorders>
              <w:top w:val="nil"/>
              <w:left w:val="nil"/>
              <w:bottom w:val="single" w:color="000000" w:sz="4" w:space="0"/>
              <w:right w:val="single" w:color="000000" w:sz="4" w:space="0"/>
            </w:tcBorders>
            <w:tcMar>
              <w:top w:w="0" w:type="dxa"/>
              <w:left w:w="90" w:type="dxa"/>
              <w:bottom w:w="0" w:type="dxa"/>
              <w:right w:w="90" w:type="dxa"/>
            </w:tcMar>
            <w:vAlign w:val="top"/>
          </w:tcPr>
          <w:p w14:paraId="53F7D275">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29" w:type="dxa"/>
            <w:tcBorders>
              <w:top w:val="nil"/>
              <w:left w:val="nil"/>
              <w:bottom w:val="single" w:color="000000" w:sz="4" w:space="0"/>
              <w:right w:val="single" w:color="000000" w:sz="4" w:space="0"/>
            </w:tcBorders>
            <w:tcMar>
              <w:top w:w="0" w:type="dxa"/>
              <w:left w:w="90" w:type="dxa"/>
              <w:bottom w:w="0" w:type="dxa"/>
              <w:right w:w="90" w:type="dxa"/>
            </w:tcMar>
            <w:vAlign w:val="top"/>
          </w:tcPr>
          <w:p w14:paraId="50B0F4D2">
            <w:pPr>
              <w:pStyle w:val="10"/>
              <w:spacing w:line="360" w:lineRule="auto"/>
              <w:jc w:val="center"/>
              <w:rPr>
                <w:rFonts w:hint="eastAsia" w:asciiTheme="minorEastAsia" w:hAnsiTheme="minorEastAsia" w:eastAsiaTheme="minorEastAsia" w:cstheme="minorEastAsia"/>
                <w:color w:val="auto"/>
                <w:sz w:val="24"/>
                <w:szCs w:val="24"/>
              </w:rPr>
            </w:pPr>
          </w:p>
        </w:tc>
      </w:tr>
      <w:tr w14:paraId="52D258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top"/>
          </w:tcPr>
          <w:p w14:paraId="3EB7920F">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w:t>
            </w:r>
          </w:p>
        </w:tc>
        <w:tc>
          <w:tcPr>
            <w:tcW w:w="1636" w:type="dxa"/>
            <w:tcBorders>
              <w:top w:val="nil"/>
              <w:left w:val="nil"/>
              <w:bottom w:val="single" w:color="000000" w:sz="4" w:space="0"/>
              <w:right w:val="single" w:color="000000" w:sz="4" w:space="0"/>
            </w:tcBorders>
            <w:tcMar>
              <w:top w:w="0" w:type="dxa"/>
              <w:left w:w="90" w:type="dxa"/>
              <w:bottom w:w="0" w:type="dxa"/>
              <w:right w:w="90" w:type="dxa"/>
            </w:tcMar>
            <w:vAlign w:val="top"/>
          </w:tcPr>
          <w:p w14:paraId="0886C533">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省公安厅机房</w:t>
            </w:r>
          </w:p>
        </w:tc>
        <w:tc>
          <w:tcPr>
            <w:tcW w:w="1487" w:type="dxa"/>
            <w:tcBorders>
              <w:top w:val="nil"/>
              <w:left w:val="nil"/>
              <w:bottom w:val="single" w:color="000000" w:sz="4" w:space="0"/>
              <w:right w:val="single" w:color="000000" w:sz="4" w:space="0"/>
            </w:tcBorders>
            <w:tcMar>
              <w:top w:w="0" w:type="dxa"/>
              <w:left w:w="90" w:type="dxa"/>
              <w:bottom w:w="0" w:type="dxa"/>
              <w:right w:w="90" w:type="dxa"/>
            </w:tcMar>
            <w:vAlign w:val="top"/>
          </w:tcPr>
          <w:p w14:paraId="5402CBBF">
            <w:pPr>
              <w:pStyle w:val="10"/>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铜盘路407号办公楼</w:t>
            </w:r>
          </w:p>
        </w:tc>
        <w:tc>
          <w:tcPr>
            <w:tcW w:w="1543" w:type="dxa"/>
            <w:tcBorders>
              <w:top w:val="nil"/>
              <w:left w:val="nil"/>
              <w:bottom w:val="single" w:color="000000" w:sz="4" w:space="0"/>
              <w:right w:val="single" w:color="000000" w:sz="4" w:space="0"/>
            </w:tcBorders>
            <w:tcMar>
              <w:top w:w="0" w:type="dxa"/>
              <w:left w:w="90" w:type="dxa"/>
              <w:bottom w:w="0" w:type="dxa"/>
              <w:right w:w="90" w:type="dxa"/>
            </w:tcMar>
            <w:vAlign w:val="top"/>
          </w:tcPr>
          <w:p w14:paraId="263C7A84">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155</w:t>
            </w:r>
            <w:r>
              <w:rPr>
                <w:rFonts w:hint="eastAsia" w:asciiTheme="minorEastAsia" w:hAnsiTheme="minorEastAsia" w:eastAsiaTheme="minorEastAsia" w:cstheme="minorEastAsia"/>
                <w:color w:val="auto"/>
                <w:sz w:val="24"/>
                <w:szCs w:val="24"/>
              </w:rPr>
              <w:t>M SDH</w:t>
            </w:r>
          </w:p>
        </w:tc>
        <w:tc>
          <w:tcPr>
            <w:tcW w:w="1409" w:type="dxa"/>
            <w:tcBorders>
              <w:top w:val="nil"/>
              <w:left w:val="nil"/>
              <w:bottom w:val="single" w:color="000000" w:sz="4" w:space="0"/>
              <w:right w:val="single" w:color="000000" w:sz="4" w:space="0"/>
            </w:tcBorders>
            <w:tcMar>
              <w:top w:w="0" w:type="dxa"/>
              <w:left w:w="90" w:type="dxa"/>
              <w:bottom w:w="0" w:type="dxa"/>
              <w:right w:w="90" w:type="dxa"/>
            </w:tcMar>
            <w:vAlign w:val="top"/>
          </w:tcPr>
          <w:p w14:paraId="7EB60690">
            <w:pPr>
              <w:pStyle w:val="10"/>
              <w:spacing w:line="360" w:lineRule="auto"/>
              <w:jc w:val="both"/>
              <w:rPr>
                <w:rFonts w:hint="eastAsia" w:asciiTheme="minorEastAsia" w:hAnsiTheme="minorEastAsia" w:eastAsiaTheme="minorEastAsia" w:cstheme="minorEastAsia"/>
                <w:color w:val="auto"/>
                <w:sz w:val="24"/>
                <w:szCs w:val="24"/>
              </w:rPr>
            </w:pPr>
          </w:p>
        </w:tc>
        <w:tc>
          <w:tcPr>
            <w:tcW w:w="870" w:type="dxa"/>
            <w:tcBorders>
              <w:top w:val="nil"/>
              <w:left w:val="nil"/>
              <w:bottom w:val="single" w:color="000000" w:sz="4" w:space="0"/>
              <w:right w:val="single" w:color="000000" w:sz="4" w:space="0"/>
            </w:tcBorders>
            <w:tcMar>
              <w:top w:w="0" w:type="dxa"/>
              <w:left w:w="90" w:type="dxa"/>
              <w:bottom w:w="0" w:type="dxa"/>
              <w:right w:w="90" w:type="dxa"/>
            </w:tcMar>
            <w:vAlign w:val="top"/>
          </w:tcPr>
          <w:p w14:paraId="6F554A8B">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29" w:type="dxa"/>
            <w:tcBorders>
              <w:top w:val="nil"/>
              <w:left w:val="nil"/>
              <w:bottom w:val="single" w:color="000000" w:sz="4" w:space="0"/>
              <w:right w:val="single" w:color="000000" w:sz="4" w:space="0"/>
            </w:tcBorders>
            <w:tcMar>
              <w:top w:w="0" w:type="dxa"/>
              <w:left w:w="90" w:type="dxa"/>
              <w:bottom w:w="0" w:type="dxa"/>
              <w:right w:w="90" w:type="dxa"/>
            </w:tcMar>
            <w:vAlign w:val="top"/>
          </w:tcPr>
          <w:p w14:paraId="436382B7">
            <w:pPr>
              <w:pStyle w:val="10"/>
              <w:spacing w:line="360" w:lineRule="auto"/>
              <w:jc w:val="center"/>
              <w:rPr>
                <w:rFonts w:hint="eastAsia" w:asciiTheme="minorEastAsia" w:hAnsiTheme="minorEastAsia" w:eastAsiaTheme="minorEastAsia" w:cstheme="minorEastAsia"/>
                <w:color w:val="auto"/>
                <w:sz w:val="24"/>
                <w:szCs w:val="24"/>
              </w:rPr>
            </w:pPr>
          </w:p>
        </w:tc>
      </w:tr>
    </w:tbl>
    <w:p w14:paraId="41404ED7">
      <w:pPr>
        <w:pStyle w:val="10"/>
        <w:numPr>
          <w:ilvl w:val="-1"/>
          <w:numId w:val="0"/>
        </w:numPr>
        <w:spacing w:line="360" w:lineRule="auto"/>
        <w:ind w:left="0"/>
        <w:rPr>
          <w:rFonts w:hint="eastAsia" w:asciiTheme="minorEastAsia" w:hAnsiTheme="minorEastAsia" w:eastAsiaTheme="minorEastAsia" w:cstheme="minorEastAsia"/>
          <w:color w:val="auto"/>
          <w:sz w:val="24"/>
          <w:szCs w:val="24"/>
        </w:rPr>
      </w:pPr>
    </w:p>
    <w:p w14:paraId="3D39849F">
      <w:pPr>
        <w:pStyle w:val="10"/>
        <w:numPr>
          <w:ilvl w:val="0"/>
          <w:numId w:val="0"/>
        </w:numPr>
        <w:spacing w:line="360" w:lineRule="auto"/>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6.</w:t>
      </w:r>
      <w:r>
        <w:rPr>
          <w:rFonts w:hint="eastAsia" w:asciiTheme="minorEastAsia" w:hAnsiTheme="minorEastAsia" w:eastAsiaTheme="minorEastAsia" w:cstheme="minorEastAsia"/>
          <w:b/>
          <w:color w:val="auto"/>
          <w:sz w:val="24"/>
          <w:szCs w:val="24"/>
        </w:rPr>
        <w:t>售后服务要求</w:t>
      </w:r>
    </w:p>
    <w:p w14:paraId="75615C57">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（1）投标人负责提供优质的通信网络系统，保证所租用线路通畅、稳定、安全，满足采购人的需求。投标人在租用线路接入施工过程中，应遵循国家及采购人施工的相关规定，确保安全，保证工程质量。</w:t>
      </w:r>
    </w:p>
    <w:p w14:paraId="012E64C3">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（2）投标人负责租用线路的维护和保养，应及时排除线路、设备、网络故障。</w:t>
      </w:r>
    </w:p>
    <w:p w14:paraId="66B14260">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为采购人提供“一站式服务”，投标人就通信线路的无故障率保证、故障响应时间，投标人应在租用期内提供7×24小时，上门调试解决线路故障、更换相关故障配件和保证提供稳定的传输服务。投标人在接到采购人技术人员故障申告电话1</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分钟内响应，2个小时内派出技术人员到故障现场，并保证故障恢复不超过4个小时。</w:t>
      </w:r>
    </w:p>
    <w:p w14:paraId="5B24F221">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（4）投标人承诺中标后，</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给采购人的电路所传输数据的安全，不得将相关数据透露给其他任何单位和个人。当通讯数据被窃取或者出现泄密的情况，投标人必须及时追查原因，采购人对追查过程和结果有知情权。</w:t>
      </w:r>
    </w:p>
    <w:p w14:paraId="425755D6">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（5）投标人接到采购人线路变动通知时，须配合采购人进行线路调整。</w:t>
      </w:r>
    </w:p>
    <w:p w14:paraId="698DCE29">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（6）各投标人可视自身能力在投标文件中承诺提供更优、更合理的服务。</w:t>
      </w:r>
    </w:p>
    <w:p w14:paraId="578DCEF4">
      <w:pPr>
        <w:pStyle w:val="10"/>
        <w:spacing w:line="360" w:lineRule="auto"/>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三、商务要求（以“★”标示的内容为不允许负偏离的实质性要求）</w:t>
      </w:r>
    </w:p>
    <w:p w14:paraId="27659CE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w:t>
      </w:r>
    </w:p>
    <w:tbl>
      <w:tblPr>
        <w:tblStyle w:val="6"/>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9"/>
        <w:gridCol w:w="585"/>
        <w:gridCol w:w="800"/>
        <w:gridCol w:w="6638"/>
      </w:tblGrid>
      <w:tr w14:paraId="39C70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dxa"/>
          </w:tcPr>
          <w:p w14:paraId="01293B8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585" w:type="dxa"/>
          </w:tcPr>
          <w:p w14:paraId="482071A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参数性质</w:t>
            </w:r>
          </w:p>
        </w:tc>
        <w:tc>
          <w:tcPr>
            <w:tcW w:w="800" w:type="dxa"/>
          </w:tcPr>
          <w:p w14:paraId="30C1F26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类型</w:t>
            </w:r>
          </w:p>
        </w:tc>
        <w:tc>
          <w:tcPr>
            <w:tcW w:w="6638" w:type="dxa"/>
          </w:tcPr>
          <w:p w14:paraId="641E35B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要求</w:t>
            </w:r>
          </w:p>
        </w:tc>
      </w:tr>
      <w:tr w14:paraId="50C5F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dxa"/>
          </w:tcPr>
          <w:p w14:paraId="7E9120B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585" w:type="dxa"/>
          </w:tcPr>
          <w:p w14:paraId="44301D6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800" w:type="dxa"/>
          </w:tcPr>
          <w:p w14:paraId="331A099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交货地点</w:t>
            </w:r>
          </w:p>
        </w:tc>
        <w:tc>
          <w:tcPr>
            <w:tcW w:w="6638" w:type="dxa"/>
          </w:tcPr>
          <w:p w14:paraId="46AE475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福建省公安厅指定地点</w:t>
            </w:r>
          </w:p>
        </w:tc>
      </w:tr>
      <w:tr w14:paraId="06761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dxa"/>
          </w:tcPr>
          <w:p w14:paraId="708FEED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585" w:type="dxa"/>
          </w:tcPr>
          <w:p w14:paraId="7B3090B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800" w:type="dxa"/>
          </w:tcPr>
          <w:p w14:paraId="0047148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交货时间</w:t>
            </w:r>
          </w:p>
        </w:tc>
        <w:tc>
          <w:tcPr>
            <w:tcW w:w="6638" w:type="dxa"/>
          </w:tcPr>
          <w:p w14:paraId="3BEE1A4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合同签订后30个日历日内向采购人提供核心机房（含配套线路及设备）、通信线路</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服务、政务外网云资源、核心数据库容灾及数据备份相关设备资源及</w:t>
            </w:r>
            <w:r>
              <w:rPr>
                <w:rFonts w:hint="eastAsia" w:asciiTheme="minorEastAsia" w:hAnsiTheme="minorEastAsia" w:cstheme="minorEastAsia"/>
                <w:color w:val="auto"/>
                <w:sz w:val="24"/>
                <w:szCs w:val="24"/>
                <w:lang w:eastAsia="zh-CN"/>
              </w:rPr>
              <w:t>现场技术服务</w:t>
            </w:r>
            <w:r>
              <w:rPr>
                <w:rFonts w:hint="eastAsia" w:asciiTheme="minorEastAsia" w:hAnsiTheme="minorEastAsia" w:eastAsiaTheme="minorEastAsia" w:cstheme="minorEastAsia"/>
                <w:color w:val="auto"/>
                <w:sz w:val="24"/>
                <w:szCs w:val="24"/>
              </w:rPr>
              <w:t>人员服务，相关服务经采购人签收确认</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上年度信息化维保服务项目的服务期结束后的第二天</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2026年9月10日</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为</w:t>
            </w:r>
            <w:r>
              <w:rPr>
                <w:rFonts w:hint="eastAsia" w:asciiTheme="minorEastAsia" w:hAnsiTheme="minorEastAsia" w:cstheme="minorEastAsia"/>
                <w:color w:val="auto"/>
                <w:sz w:val="24"/>
                <w:szCs w:val="24"/>
                <w:lang w:val="en-US" w:eastAsia="zh-CN"/>
              </w:rPr>
              <w:t>本</w:t>
            </w:r>
            <w:r>
              <w:rPr>
                <w:rFonts w:hint="eastAsia" w:asciiTheme="minorEastAsia" w:hAnsiTheme="minorEastAsia" w:eastAsiaTheme="minorEastAsia" w:cstheme="minorEastAsia"/>
                <w:color w:val="auto"/>
                <w:sz w:val="24"/>
                <w:szCs w:val="24"/>
              </w:rPr>
              <w:t>项目合同服务起算时间</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其中</w:t>
            </w:r>
            <w:r>
              <w:rPr>
                <w:rFonts w:hint="eastAsia" w:asciiTheme="minorEastAsia" w:hAnsiTheme="minorEastAsia" w:eastAsiaTheme="minorEastAsia" w:cstheme="minorEastAsia"/>
                <w:b/>
                <w:bCs/>
                <w:color w:val="auto"/>
                <w:sz w:val="24"/>
                <w:szCs w:val="24"/>
              </w:rPr>
              <w:t>专项线路</w:t>
            </w:r>
            <w:r>
              <w:rPr>
                <w:rFonts w:hint="eastAsia" w:asciiTheme="minorEastAsia" w:hAnsiTheme="minorEastAsia" w:cstheme="minorEastAsia"/>
                <w:b/>
                <w:bCs/>
                <w:color w:val="auto"/>
                <w:sz w:val="24"/>
                <w:szCs w:val="24"/>
                <w:lang w:eastAsia="zh-CN"/>
              </w:rPr>
              <w:t>租用</w:t>
            </w:r>
            <w:r>
              <w:rPr>
                <w:rFonts w:hint="eastAsia" w:asciiTheme="minorEastAsia" w:hAnsiTheme="minorEastAsia" w:eastAsiaTheme="minorEastAsia" w:cstheme="minorEastAsia"/>
                <w:b/>
                <w:bCs/>
                <w:color w:val="auto"/>
                <w:sz w:val="24"/>
                <w:szCs w:val="24"/>
              </w:rPr>
              <w:t>服务的服务期自2027年1月1日起</w:t>
            </w:r>
            <w:r>
              <w:rPr>
                <w:rFonts w:hint="eastAsia" w:asciiTheme="minorEastAsia" w:hAnsiTheme="minorEastAsia" w:cstheme="minorEastAsia"/>
                <w:b/>
                <w:bCs/>
                <w:color w:val="auto"/>
                <w:sz w:val="24"/>
                <w:szCs w:val="24"/>
                <w:lang w:val="en-US" w:eastAsia="zh-CN"/>
              </w:rPr>
              <w:t>算</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，项目服务期</w:t>
            </w:r>
            <w:r>
              <w:rPr>
                <w:rFonts w:hint="eastAsia" w:asciiTheme="minorEastAsia" w:hAnsiTheme="minorEastAsia" w:cstheme="minorEastAsia"/>
                <w:color w:val="auto"/>
                <w:sz w:val="24"/>
                <w:szCs w:val="24"/>
                <w:lang w:val="en-US" w:eastAsia="zh-CN"/>
              </w:rPr>
              <w:t>至2027年9月9日</w:t>
            </w:r>
            <w:r>
              <w:rPr>
                <w:rFonts w:hint="eastAsia" w:asciiTheme="minorEastAsia" w:hAnsiTheme="minorEastAsia" w:eastAsiaTheme="minorEastAsia" w:cstheme="minorEastAsia"/>
                <w:color w:val="auto"/>
                <w:sz w:val="24"/>
                <w:szCs w:val="24"/>
              </w:rPr>
              <w:t>。</w:t>
            </w:r>
          </w:p>
        </w:tc>
      </w:tr>
      <w:tr w14:paraId="613EC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dxa"/>
          </w:tcPr>
          <w:p w14:paraId="09F499A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585" w:type="dxa"/>
          </w:tcPr>
          <w:p w14:paraId="25C0872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800" w:type="dxa"/>
          </w:tcPr>
          <w:p w14:paraId="73A6F96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交货条件</w:t>
            </w:r>
          </w:p>
        </w:tc>
        <w:tc>
          <w:tcPr>
            <w:tcW w:w="6638" w:type="dxa"/>
          </w:tcPr>
          <w:p w14:paraId="21BAC4B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验收合格。</w:t>
            </w:r>
          </w:p>
        </w:tc>
      </w:tr>
      <w:tr w14:paraId="0D6FC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dxa"/>
          </w:tcPr>
          <w:p w14:paraId="5789E87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585" w:type="dxa"/>
          </w:tcPr>
          <w:p w14:paraId="196C745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800" w:type="dxa"/>
          </w:tcPr>
          <w:p w14:paraId="1A7B212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履约保证金</w:t>
            </w:r>
          </w:p>
        </w:tc>
        <w:tc>
          <w:tcPr>
            <w:tcW w:w="6638" w:type="dxa"/>
          </w:tcPr>
          <w:p w14:paraId="365C7BA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缴纳, 本采购包履约保证金为合同金额的10%</w:t>
            </w:r>
          </w:p>
          <w:p w14:paraId="0C3E318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缴纳方式：银行转账，支票/汇票/本票，保函/保险</w:t>
            </w:r>
          </w:p>
          <w:p w14:paraId="157C0E2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中标人应于当年合同签订时向采购人提供合同总价10％的银行履约保函（本项目为非专门面向中小企业的采购项目，若中标人符合中小企业认定标准且按招标文件规定提供有效文件的，履约保证金收取比例为中标价的5%。），如因未提供合同导致银行不能开具银行保函的，中标人提供履约保函承诺书，承诺其在合同签订后30个工作日内提供银行保函。合同服务期满且无质量和售后服务问题，采购人审核确认后在30个日历日内退还银行履约保函（原件）。若中标人未按合同要求提供服务的，须按合同规定支付违约金后，采购人才予退还银行履约保函（原件）。履约保证金退还的方式、时间、条件和不予退还的情形以及逾期退还履约保证金的违约责任等在采购合同中约定。</w:t>
            </w:r>
          </w:p>
        </w:tc>
      </w:tr>
      <w:tr w14:paraId="7EB2B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dxa"/>
          </w:tcPr>
          <w:p w14:paraId="2B1147D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585" w:type="dxa"/>
          </w:tcPr>
          <w:p w14:paraId="3A918B5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800" w:type="dxa"/>
          </w:tcPr>
          <w:p w14:paraId="6ABCB33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是否邀请投标人验收</w:t>
            </w:r>
          </w:p>
        </w:tc>
        <w:tc>
          <w:tcPr>
            <w:tcW w:w="6638" w:type="dxa"/>
          </w:tcPr>
          <w:p w14:paraId="339D38F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不邀请投标人验收</w:t>
            </w:r>
          </w:p>
        </w:tc>
      </w:tr>
      <w:tr w14:paraId="7E2F2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dxa"/>
          </w:tcPr>
          <w:p w14:paraId="0C5667A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585" w:type="dxa"/>
          </w:tcPr>
          <w:p w14:paraId="2A3DAA0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800" w:type="dxa"/>
          </w:tcPr>
          <w:p w14:paraId="3B1832E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履约验收方式</w:t>
            </w:r>
          </w:p>
        </w:tc>
        <w:tc>
          <w:tcPr>
            <w:tcW w:w="6638" w:type="dxa"/>
          </w:tcPr>
          <w:p w14:paraId="692C785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1、期次1，说明：中标人提供的核心机房（含配套线路及设备）、通信线路</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服务、政务外网云资源、核心数据库容灾及数据备份相关设备资源及</w:t>
            </w:r>
            <w:r>
              <w:rPr>
                <w:rFonts w:hint="eastAsia" w:asciiTheme="minorEastAsia" w:hAnsiTheme="minorEastAsia" w:cstheme="minorEastAsia"/>
                <w:color w:val="auto"/>
                <w:sz w:val="24"/>
                <w:szCs w:val="24"/>
                <w:lang w:eastAsia="zh-CN"/>
              </w:rPr>
              <w:t>现场技术服务</w:t>
            </w:r>
            <w:r>
              <w:rPr>
                <w:rFonts w:hint="eastAsia" w:asciiTheme="minorEastAsia" w:hAnsiTheme="minorEastAsia" w:eastAsiaTheme="minorEastAsia" w:cstheme="minorEastAsia"/>
                <w:color w:val="auto"/>
                <w:sz w:val="24"/>
                <w:szCs w:val="24"/>
              </w:rPr>
              <w:t>人员通过采购人签收确认后的第二天起至12个月后即项目服务期满，</w:t>
            </w:r>
            <w:r>
              <w:rPr>
                <w:rFonts w:hint="eastAsia" w:asciiTheme="minorEastAsia" w:hAnsiTheme="minorEastAsia" w:cstheme="minorEastAsia"/>
                <w:color w:val="auto"/>
                <w:sz w:val="24"/>
                <w:szCs w:val="24"/>
                <w:lang w:eastAsia="zh-CN"/>
              </w:rPr>
              <w:t>且</w:t>
            </w:r>
            <w:r>
              <w:rPr>
                <w:rFonts w:hint="eastAsia" w:asciiTheme="minorEastAsia" w:hAnsiTheme="minorEastAsia" w:cstheme="minorEastAsia"/>
                <w:color w:val="auto"/>
                <w:sz w:val="24"/>
                <w:szCs w:val="24"/>
                <w:lang w:val="en-US" w:eastAsia="zh-CN"/>
              </w:rPr>
              <w:t>每月月度及年度考核合格，</w:t>
            </w:r>
            <w:r>
              <w:rPr>
                <w:rFonts w:hint="eastAsia" w:asciiTheme="minorEastAsia" w:hAnsiTheme="minorEastAsia" w:eastAsiaTheme="minorEastAsia" w:cstheme="minorEastAsia"/>
                <w:color w:val="auto"/>
                <w:sz w:val="24"/>
                <w:szCs w:val="24"/>
              </w:rPr>
              <w:t>项目建设整体符合招、投标文件及合同要求后，中标人根据采购人信息化项目管理要求，提起项目合同验收，并向采购人出具项目文档交付材料。中标人在提起合同验收申请后30个工作日内通过采购人组织的合同验收。若中标人未按上述期限完成验收，违约责任参照合同有关条款执行。</w:t>
            </w:r>
          </w:p>
        </w:tc>
      </w:tr>
      <w:tr w14:paraId="3C279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dxa"/>
          </w:tcPr>
          <w:p w14:paraId="0210605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585" w:type="dxa"/>
          </w:tcPr>
          <w:p w14:paraId="07FD377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800" w:type="dxa"/>
          </w:tcPr>
          <w:p w14:paraId="020FB3A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合同支付方式</w:t>
            </w:r>
          </w:p>
        </w:tc>
        <w:tc>
          <w:tcPr>
            <w:tcW w:w="6638" w:type="dxa"/>
          </w:tcPr>
          <w:p w14:paraId="36E9E456">
            <w:pPr>
              <w:pStyle w:val="10"/>
              <w:spacing w:line="360" w:lineRule="auto"/>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1、进度款，中标人提供的核心机房（含配套线路及设备）、通信线路</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服务、政务外网云资源、核心数据库容灾及数据备份相关设备资源及</w:t>
            </w:r>
            <w:r>
              <w:rPr>
                <w:rFonts w:hint="eastAsia" w:asciiTheme="minorEastAsia" w:hAnsiTheme="minorEastAsia" w:cstheme="minorEastAsia"/>
                <w:color w:val="auto"/>
                <w:sz w:val="24"/>
                <w:szCs w:val="24"/>
                <w:lang w:eastAsia="zh-CN"/>
              </w:rPr>
              <w:t>现场技术服务</w:t>
            </w:r>
            <w:r>
              <w:rPr>
                <w:rFonts w:hint="eastAsia" w:asciiTheme="minorEastAsia" w:hAnsiTheme="minorEastAsia" w:eastAsiaTheme="minorEastAsia" w:cstheme="minorEastAsia"/>
                <w:color w:val="auto"/>
                <w:sz w:val="24"/>
                <w:szCs w:val="24"/>
              </w:rPr>
              <w:t>人员通过采购人签收确认后，中标人提供合同金额50%的等额发票</w:t>
            </w:r>
            <w:r>
              <w:rPr>
                <w:rFonts w:hint="eastAsia" w:asciiTheme="minorEastAsia" w:hAnsiTheme="minorEastAsia" w:cstheme="minorEastAsia"/>
                <w:color w:val="auto"/>
                <w:sz w:val="24"/>
                <w:szCs w:val="24"/>
                <w:lang w:val="en-US" w:eastAsia="zh-CN"/>
              </w:rPr>
              <w:t>及银行履约保函</w:t>
            </w:r>
            <w:r>
              <w:rPr>
                <w:rFonts w:hint="eastAsia" w:asciiTheme="minorEastAsia" w:hAnsiTheme="minorEastAsia" w:eastAsiaTheme="minorEastAsia" w:cstheme="minorEastAsia"/>
                <w:b w:val="0"/>
                <w:bCs w:val="0"/>
                <w:color w:val="auto"/>
                <w:sz w:val="24"/>
                <w:szCs w:val="24"/>
              </w:rPr>
              <w:t>视为达到付款条件</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采购人在</w:t>
            </w:r>
            <w:r>
              <w:rPr>
                <w:rFonts w:hint="eastAsia" w:asciiTheme="minorEastAsia" w:hAnsiTheme="minorEastAsia" w:eastAsiaTheme="minorEastAsia" w:cstheme="minorEastAsia"/>
                <w:color w:val="auto"/>
                <w:sz w:val="24"/>
                <w:szCs w:val="24"/>
              </w:rPr>
              <w:t>达到付款条件起</w:t>
            </w: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0</w:t>
            </w:r>
            <w:r>
              <w:rPr>
                <w:rFonts w:hint="eastAsia" w:asciiTheme="minorEastAsia" w:hAnsiTheme="minorEastAsia" w:cstheme="minorEastAsia"/>
                <w:color w:val="auto"/>
                <w:sz w:val="24"/>
                <w:szCs w:val="24"/>
                <w:lang w:val="en-US" w:eastAsia="zh-CN"/>
              </w:rPr>
              <w:t>个工作日</w:t>
            </w:r>
            <w:r>
              <w:rPr>
                <w:rFonts w:hint="eastAsia" w:asciiTheme="minorEastAsia" w:hAnsiTheme="minorEastAsia" w:eastAsiaTheme="minorEastAsia" w:cstheme="minorEastAsia"/>
                <w:color w:val="auto"/>
                <w:sz w:val="24"/>
                <w:szCs w:val="24"/>
              </w:rPr>
              <w:t>内，支付合同总金额的50.00%</w:t>
            </w:r>
            <w:r>
              <w:rPr>
                <w:rFonts w:hint="eastAsia" w:asciiTheme="minorEastAsia" w:hAnsiTheme="minorEastAsia" w:cstheme="minorEastAsia"/>
                <w:color w:val="auto"/>
                <w:sz w:val="24"/>
                <w:szCs w:val="24"/>
                <w:lang w:eastAsia="zh-CN"/>
              </w:rPr>
              <w:t>。</w:t>
            </w:r>
          </w:p>
          <w:p w14:paraId="41403A3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2、进度款，项目通过合同验收后，中标人提供合同</w:t>
            </w:r>
            <w:r>
              <w:rPr>
                <w:rFonts w:hint="eastAsia" w:asciiTheme="minorEastAsia" w:hAnsiTheme="minorEastAsia" w:cstheme="minorEastAsia"/>
                <w:color w:val="auto"/>
                <w:sz w:val="24"/>
                <w:szCs w:val="24"/>
                <w:lang w:val="en-US" w:eastAsia="zh-CN"/>
              </w:rPr>
              <w:t>尾款</w:t>
            </w:r>
            <w:r>
              <w:rPr>
                <w:rFonts w:hint="eastAsia" w:asciiTheme="minorEastAsia" w:hAnsiTheme="minorEastAsia" w:eastAsiaTheme="minorEastAsia" w:cstheme="minorEastAsia"/>
                <w:color w:val="auto"/>
                <w:sz w:val="24"/>
                <w:szCs w:val="24"/>
              </w:rPr>
              <w:t>金额</w:t>
            </w:r>
            <w:r>
              <w:rPr>
                <w:rFonts w:hint="eastAsia" w:asciiTheme="minorEastAsia" w:hAnsiTheme="minorEastAsia" w:cstheme="minorEastAsia"/>
                <w:color w:val="auto"/>
                <w:sz w:val="24"/>
                <w:szCs w:val="24"/>
                <w:lang w:eastAsia="zh-CN"/>
              </w:rPr>
              <w:t>（尾款金额根据年度考核结果确定：合格为合同金额的50%，不合格为合同金额的50%扣除相应扣款）</w:t>
            </w:r>
            <w:r>
              <w:rPr>
                <w:rFonts w:hint="eastAsia" w:asciiTheme="minorEastAsia" w:hAnsiTheme="minorEastAsia" w:eastAsiaTheme="minorEastAsia" w:cstheme="minorEastAsia"/>
                <w:color w:val="auto"/>
                <w:sz w:val="24"/>
                <w:szCs w:val="24"/>
              </w:rPr>
              <w:t>的等额发票</w:t>
            </w:r>
            <w:r>
              <w:rPr>
                <w:rFonts w:hint="eastAsia" w:asciiTheme="minorEastAsia" w:hAnsiTheme="minorEastAsia" w:eastAsiaTheme="minorEastAsia" w:cstheme="minorEastAsia"/>
                <w:b w:val="0"/>
                <w:bCs w:val="0"/>
                <w:color w:val="auto"/>
                <w:sz w:val="24"/>
                <w:szCs w:val="24"/>
              </w:rPr>
              <w:t>视为达到付款条件</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采购人在</w:t>
            </w:r>
            <w:r>
              <w:rPr>
                <w:rFonts w:hint="eastAsia" w:asciiTheme="minorEastAsia" w:hAnsiTheme="minorEastAsia" w:eastAsiaTheme="minorEastAsia" w:cstheme="minorEastAsia"/>
                <w:color w:val="auto"/>
                <w:sz w:val="24"/>
                <w:szCs w:val="24"/>
              </w:rPr>
              <w:t>达到付款条件起</w:t>
            </w: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0</w:t>
            </w:r>
            <w:r>
              <w:rPr>
                <w:rFonts w:hint="eastAsia" w:asciiTheme="minorEastAsia" w:hAnsiTheme="minorEastAsia" w:cstheme="minorEastAsia"/>
                <w:color w:val="auto"/>
                <w:sz w:val="24"/>
                <w:szCs w:val="24"/>
                <w:lang w:eastAsia="zh-CN"/>
              </w:rPr>
              <w:t>个工作</w:t>
            </w:r>
            <w:r>
              <w:rPr>
                <w:rFonts w:hint="eastAsia" w:asciiTheme="minorEastAsia" w:hAnsiTheme="minorEastAsia" w:eastAsiaTheme="minorEastAsia" w:cstheme="minorEastAsia"/>
                <w:color w:val="auto"/>
                <w:sz w:val="24"/>
                <w:szCs w:val="24"/>
              </w:rPr>
              <w:t>日内，支付合同</w:t>
            </w:r>
            <w:r>
              <w:rPr>
                <w:rFonts w:hint="eastAsia" w:asciiTheme="minorEastAsia" w:hAnsiTheme="minorEastAsia" w:cstheme="minorEastAsia"/>
                <w:color w:val="auto"/>
                <w:sz w:val="24"/>
                <w:szCs w:val="24"/>
                <w:lang w:val="en-US" w:eastAsia="zh-CN"/>
              </w:rPr>
              <w:t>尾款</w:t>
            </w:r>
            <w:r>
              <w:rPr>
                <w:rFonts w:hint="eastAsia" w:asciiTheme="minorEastAsia" w:hAnsiTheme="minorEastAsia" w:cstheme="minorEastAsia"/>
                <w:color w:val="auto"/>
                <w:sz w:val="24"/>
                <w:szCs w:val="24"/>
                <w:lang w:eastAsia="zh-CN"/>
              </w:rPr>
              <w:t>。</w:t>
            </w:r>
          </w:p>
        </w:tc>
      </w:tr>
    </w:tbl>
    <w:p w14:paraId="5C96E0C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其他商务要求</w:t>
      </w:r>
    </w:p>
    <w:p w14:paraId="73AE7024">
      <w:pPr>
        <w:pStyle w:val="10"/>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★以下其他商务要求均为不允许负偏离的实质性要求</w:t>
      </w:r>
    </w:p>
    <w:p w14:paraId="6F3C8FCD">
      <w:pPr>
        <w:pStyle w:val="10"/>
        <w:spacing w:line="360" w:lineRule="auto"/>
        <w:ind w:firstLine="482" w:firstLineChars="200"/>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8.服务考核要求</w:t>
      </w:r>
    </w:p>
    <w:p w14:paraId="40F8C694">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服务每自然月考核一次（合同服务起、止当月，如果服务天数≥16天，该自然月独立考核；如果服务天数＜16天，跟就近月合并考核），每个考核周期独立计分，满分为100分。采购人依据各项考核指标要求在每个考核周期结束后的5个工作日内完成项目服务质量考核。</w:t>
      </w:r>
    </w:p>
    <w:tbl>
      <w:tblPr>
        <w:tblStyle w:val="6"/>
        <w:tblW w:w="8290"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20"/>
        <w:gridCol w:w="6870"/>
      </w:tblGrid>
      <w:tr w14:paraId="79649D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AC29CB">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服务考核项</w:t>
            </w:r>
          </w:p>
        </w:tc>
        <w:tc>
          <w:tcPr>
            <w:tcW w:w="687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46B0B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服务考核标准</w:t>
            </w:r>
          </w:p>
        </w:tc>
      </w:tr>
      <w:tr w14:paraId="7F6EBA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14CC6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日常运营服务</w:t>
            </w:r>
          </w:p>
        </w:tc>
        <w:tc>
          <w:tcPr>
            <w:tcW w:w="687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0F9DA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1、未按约定时间和要求提供</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机柜、基础软件、应用软件、政务外网云资源等本项目服务的开通、变更、回收服务的，每次扣1分。</w:t>
            </w:r>
          </w:p>
          <w:p w14:paraId="55FB825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2、未按约定时间和要求更新和管理机房环境、数据中心设备、基础软件、应用软件、政务外网云资源、通信线路</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等相关软硬件台账资产信息的，每次扣1分。</w:t>
            </w:r>
          </w:p>
          <w:p w14:paraId="42A16AD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3、未按约定时间和要求提供安全监测服务、安全分析服务、安全通报服务等安全运营服务的，每次扣1分。</w:t>
            </w:r>
          </w:p>
        </w:tc>
      </w:tr>
      <w:tr w14:paraId="361BCB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3B5CAC">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运维保障服务</w:t>
            </w:r>
          </w:p>
        </w:tc>
        <w:tc>
          <w:tcPr>
            <w:tcW w:w="687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89611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1、未按约定提供机房环境、数据中心设备、音视频设备、通信设备、基础软件、应用软件、安全设施、</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机房、政务外网云资源、通信线路</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等相关软硬件维保及运维服务的，每次扣1分。</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2、未按约定时间和频率对机房环境、数据中心设备、音视频设备、通信设备、基础软件、应用软件、安全设施、</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机房、政务外网云资源、通信线路</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等相关软硬件进行巡检，漏检、不及时巡检、巡检不到位的，每次扣1分。</w:t>
            </w:r>
          </w:p>
          <w:p w14:paraId="54490B8F">
            <w:pPr>
              <w:pStyle w:val="10"/>
              <w:spacing w:line="360" w:lineRule="auto"/>
              <w:ind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3、未按值班制度接听值班电话、处置运维监控信息、执行调度、值班交接及事件记录等的，每次扣1分。</w:t>
            </w:r>
          </w:p>
          <w:p w14:paraId="6DBB50F9">
            <w:pPr>
              <w:pStyle w:val="10"/>
              <w:spacing w:line="360" w:lineRule="auto"/>
              <w:ind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4、未按要求在统一运营运维平台上维护监控信息、处置工单，或未按故障严重性等级上报或通知相关管理人员或相关部门的，每次扣1分。</w:t>
            </w:r>
          </w:p>
        </w:tc>
      </w:tr>
      <w:tr w14:paraId="63A23E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1C641A">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故障处理要求</w:t>
            </w:r>
          </w:p>
        </w:tc>
        <w:tc>
          <w:tcPr>
            <w:tcW w:w="687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14AF7E">
            <w:pPr>
              <w:pStyle w:val="10"/>
              <w:spacing w:line="360" w:lineRule="auto"/>
              <w:ind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1、一般系统出现业务中断事故，每次扣3分。</w:t>
            </w:r>
          </w:p>
          <w:p w14:paraId="316F8C17">
            <w:pPr>
              <w:pStyle w:val="10"/>
              <w:spacing w:line="360" w:lineRule="auto"/>
              <w:ind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2、出现重大网络、安全、信息系统、云资源、通信故障、会议中断事故的，每次扣5分。</w:t>
            </w:r>
          </w:p>
          <w:p w14:paraId="037F5738">
            <w:pPr>
              <w:pStyle w:val="10"/>
              <w:spacing w:line="360" w:lineRule="auto"/>
              <w:ind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3、因人为因素（工作不到位、工作失误或能力等问题）导致核心系统瘫痪、数据丢失、业务中断，或者造成重大影响的，每次扣10分。</w:t>
            </w:r>
          </w:p>
          <w:p w14:paraId="26262CDD">
            <w:pPr>
              <w:pStyle w:val="10"/>
              <w:spacing w:line="360" w:lineRule="auto"/>
              <w:ind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4、未按要求提供备品备件的，扣3分；对于出现硬件故障需要及时提供备件更换的，每超过服务要求时间2小时扣1分。</w:t>
            </w:r>
          </w:p>
          <w:p w14:paraId="6BE16095">
            <w:pPr>
              <w:pStyle w:val="10"/>
              <w:spacing w:line="360" w:lineRule="auto"/>
              <w:ind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5、故障响应、业务恢复、清除故障问题或故障报告交付时限不及时，每次扣2分。</w:t>
            </w:r>
          </w:p>
        </w:tc>
      </w:tr>
      <w:tr w14:paraId="60CE0E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9606B6A">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运维团队管理</w:t>
            </w:r>
          </w:p>
        </w:tc>
        <w:tc>
          <w:tcPr>
            <w:tcW w:w="687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EE6EF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1、被采购人抽查发现项目资源组织混乱，职责不明的情况，每次扣1分。</w:t>
            </w:r>
          </w:p>
          <w:p w14:paraId="690F4DA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2、未按照合同规定投入或更换人员，每次扣1分。</w:t>
            </w:r>
          </w:p>
          <w:p w14:paraId="1C4E75C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3、未按约定提交驻点维护人员评定等次，每次扣1分。</w:t>
            </w:r>
          </w:p>
          <w:p w14:paraId="1CEFEC7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4、被采购人抽查发现驻点维护人员网络安全、信息系统、通信保障等能力与评定的等次严重不符的，每次扣2分。</w:t>
            </w:r>
          </w:p>
          <w:p w14:paraId="227A7426">
            <w:pPr>
              <w:pStyle w:val="10"/>
              <w:spacing w:line="360" w:lineRule="auto"/>
              <w:ind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5、现场技术服务团队违反日常考核管理规定的，每次扣1分。</w:t>
            </w:r>
          </w:p>
          <w:p w14:paraId="7D1B0FC8">
            <w:pPr>
              <w:pStyle w:val="10"/>
              <w:spacing w:line="360" w:lineRule="auto"/>
              <w:ind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6、在服务周期内如出现人员未遵循日常安全保密管理规范的，每次扣1-50分，详见“安全保密要求”部分。</w:t>
            </w:r>
          </w:p>
        </w:tc>
      </w:tr>
      <w:tr w14:paraId="065AF5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3B6579">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应急演练服务</w:t>
            </w:r>
          </w:p>
        </w:tc>
        <w:tc>
          <w:tcPr>
            <w:tcW w:w="687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21B0F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1、未按约定开展网络、安全、信息系统、云资源、视频通信保障等相关应急或实战化演练工作，每次扣5分。</w:t>
            </w:r>
          </w:p>
          <w:p w14:paraId="4A868A4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2、应急演练报告交付时限不及时或达不到预期效果，每次扣2分。</w:t>
            </w:r>
          </w:p>
        </w:tc>
      </w:tr>
      <w:tr w14:paraId="049D61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753ADCD">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文档交付服务</w:t>
            </w:r>
          </w:p>
        </w:tc>
        <w:tc>
          <w:tcPr>
            <w:tcW w:w="687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78531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1、未按约定时间和要求提交机房环境、数据中心设备、音视频设备、通信设备、基础软件、应用软件、安全设施、</w:t>
            </w:r>
            <w:r>
              <w:rPr>
                <w:rFonts w:hint="eastAsia" w:asciiTheme="minorEastAsia" w:hAnsiTheme="minorEastAsia" w:cstheme="minorEastAsia"/>
                <w:color w:val="auto"/>
                <w:sz w:val="24"/>
                <w:szCs w:val="24"/>
                <w:lang w:eastAsia="zh-CN"/>
              </w:rPr>
              <w:t>租用</w:t>
            </w:r>
            <w:r>
              <w:rPr>
                <w:rFonts w:hint="eastAsia" w:asciiTheme="minorEastAsia" w:hAnsiTheme="minorEastAsia" w:eastAsiaTheme="minorEastAsia" w:cstheme="minorEastAsia"/>
                <w:color w:val="auto"/>
                <w:sz w:val="24"/>
                <w:szCs w:val="24"/>
              </w:rPr>
              <w:t>机房、政务外网云资源、通信线路巡检报告，每次扣1分。</w:t>
            </w:r>
          </w:p>
          <w:p w14:paraId="7DD5DF0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2、未按要求提交服务范围内的服务文档，文档资料无专人管理，或在文档交付完整性、有效性、及时性以及文档质量等方面存在问题的，每次扣2分。</w:t>
            </w:r>
          </w:p>
        </w:tc>
      </w:tr>
      <w:tr w14:paraId="2D152D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88BC1A">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加分项</w:t>
            </w:r>
          </w:p>
        </w:tc>
        <w:tc>
          <w:tcPr>
            <w:tcW w:w="687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7970E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1、重大或突发应急保障中，在系统维稳、高强度值守中发挥突出作用，采购人根据成效或成果情况在0-5分之间评分。</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2、主动进行运维专题优化，在提高维护效率和维护质量上取得较好成效，并有专利或创新输出，采购人根据成效或成果情况在0-5分之间评分。</w:t>
            </w:r>
          </w:p>
        </w:tc>
      </w:tr>
    </w:tbl>
    <w:p w14:paraId="2FB673B1">
      <w:pPr>
        <w:pStyle w:val="10"/>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具体考核内容和考评标准，在合同签订阶段进一步修改完善。</w:t>
      </w:r>
      <w:r>
        <w:rPr>
          <w:rFonts w:hint="eastAsia" w:asciiTheme="minorEastAsia" w:hAnsiTheme="minorEastAsia" w:cstheme="minorEastAsia"/>
          <w:color w:val="auto"/>
          <w:sz w:val="24"/>
          <w:szCs w:val="24"/>
          <w:lang w:val="en-US" w:eastAsia="zh-CN"/>
        </w:rPr>
        <w:t>合同</w:t>
      </w:r>
      <w:r>
        <w:rPr>
          <w:rFonts w:hint="eastAsia" w:asciiTheme="minorEastAsia" w:hAnsiTheme="minorEastAsia" w:eastAsiaTheme="minorEastAsia" w:cstheme="minorEastAsia"/>
          <w:color w:val="auto"/>
          <w:sz w:val="24"/>
          <w:szCs w:val="24"/>
        </w:rPr>
        <w:t>服务到期后，采购人对中标人提供的服务进行</w:t>
      </w:r>
      <w:r>
        <w:rPr>
          <w:rFonts w:hint="eastAsia" w:asciiTheme="minorEastAsia" w:hAnsiTheme="minorEastAsia" w:cstheme="minorEastAsia"/>
          <w:color w:val="auto"/>
          <w:sz w:val="24"/>
          <w:szCs w:val="24"/>
          <w:lang w:eastAsia="zh-CN"/>
        </w:rPr>
        <w:t>年度</w:t>
      </w:r>
      <w:r>
        <w:rPr>
          <w:rFonts w:hint="eastAsia" w:asciiTheme="minorEastAsia" w:hAnsiTheme="minorEastAsia" w:eastAsiaTheme="minorEastAsia" w:cstheme="minorEastAsia"/>
          <w:color w:val="auto"/>
          <w:sz w:val="24"/>
          <w:szCs w:val="24"/>
        </w:rPr>
        <w:t>考核，年度考核分数为全年月考核分数的平均值。具体年度考核分数与付款规则如下：</w:t>
      </w:r>
      <w:r>
        <w:rPr>
          <w:rFonts w:hint="eastAsia" w:asciiTheme="minorEastAsia" w:hAnsiTheme="minorEastAsia" w:cstheme="minorEastAsia"/>
          <w:color w:val="auto"/>
          <w:sz w:val="24"/>
          <w:szCs w:val="24"/>
          <w:lang w:eastAsia="zh-CN"/>
        </w:rPr>
        <w:t>年度</w:t>
      </w:r>
      <w:r>
        <w:rPr>
          <w:rFonts w:hint="eastAsia" w:asciiTheme="minorEastAsia" w:hAnsiTheme="minorEastAsia" w:eastAsiaTheme="minorEastAsia" w:cstheme="minorEastAsia"/>
          <w:color w:val="auto"/>
          <w:sz w:val="24"/>
          <w:szCs w:val="24"/>
        </w:rPr>
        <w:t>考核</w:t>
      </w:r>
      <w:r>
        <w:rPr>
          <w:rFonts w:hint="eastAsia" w:asciiTheme="minorEastAsia" w:hAnsiTheme="minorEastAsia" w:cstheme="minorEastAsia"/>
          <w:color w:val="auto"/>
          <w:sz w:val="24"/>
          <w:szCs w:val="24"/>
          <w:lang w:val="en-US" w:eastAsia="zh-CN"/>
        </w:rPr>
        <w:t>得分</w:t>
      </w:r>
      <w:r>
        <w:rPr>
          <w:rFonts w:hint="eastAsia" w:asciiTheme="minorEastAsia" w:hAnsiTheme="minorEastAsia" w:eastAsiaTheme="minorEastAsia" w:cstheme="minorEastAsia"/>
          <w:color w:val="auto"/>
          <w:sz w:val="24"/>
          <w:szCs w:val="24"/>
        </w:rPr>
        <w:t>在90分以上（含90分）的，则服务质量合格；年度考核得分在80分（含）至90分（不含）之间的，则扣除项目中标价10%的金额作为违约金；年度考核得分低于80分（不含80分）的，则扣除项目中标价20%的金额作为违约金；若中标人年度考核分数低于70分或任一月度考核得分低于60分（不含60分）</w:t>
      </w:r>
      <w:r>
        <w:rPr>
          <w:rFonts w:hint="eastAsia" w:asciiTheme="minorEastAsia" w:hAnsiTheme="minorEastAsia" w:cstheme="minorEastAsia"/>
          <w:color w:val="auto"/>
          <w:sz w:val="24"/>
          <w:szCs w:val="24"/>
          <w:lang w:val="en-US" w:eastAsia="zh-CN"/>
        </w:rPr>
        <w:t>的</w:t>
      </w:r>
      <w:r>
        <w:rPr>
          <w:rFonts w:hint="eastAsia" w:asciiTheme="minorEastAsia" w:hAnsiTheme="minorEastAsia" w:eastAsiaTheme="minorEastAsia" w:cstheme="minorEastAsia"/>
          <w:color w:val="auto"/>
          <w:sz w:val="24"/>
          <w:szCs w:val="24"/>
        </w:rPr>
        <w:t>，考核不合格，采购人有权</w:t>
      </w:r>
      <w:r>
        <w:rPr>
          <w:rFonts w:hint="eastAsia" w:asciiTheme="minorEastAsia" w:hAnsiTheme="minorEastAsia" w:cstheme="minorEastAsia"/>
          <w:color w:val="auto"/>
          <w:sz w:val="24"/>
          <w:szCs w:val="24"/>
          <w:lang w:val="en-US" w:eastAsia="zh-CN"/>
        </w:rPr>
        <w:t>单方解除</w:t>
      </w:r>
      <w:r>
        <w:rPr>
          <w:rFonts w:hint="eastAsia" w:asciiTheme="minorEastAsia" w:hAnsiTheme="minorEastAsia" w:eastAsiaTheme="minorEastAsia" w:cstheme="minorEastAsia"/>
          <w:color w:val="auto"/>
          <w:sz w:val="24"/>
          <w:szCs w:val="24"/>
        </w:rPr>
        <w:t>合同</w:t>
      </w:r>
      <w:r>
        <w:rPr>
          <w:rFonts w:hint="eastAsia" w:asciiTheme="minorEastAsia" w:hAnsiTheme="minorEastAsia" w:cstheme="minorEastAsia"/>
          <w:color w:val="auto"/>
          <w:sz w:val="24"/>
          <w:szCs w:val="24"/>
          <w:lang w:eastAsia="zh-CN"/>
        </w:rPr>
        <w:t>，且不承担违约责任</w:t>
      </w:r>
      <w:r>
        <w:rPr>
          <w:rFonts w:hint="eastAsia" w:asciiTheme="minorEastAsia" w:hAnsiTheme="minorEastAsia" w:eastAsiaTheme="minorEastAsia" w:cstheme="minorEastAsia"/>
          <w:color w:val="auto"/>
          <w:sz w:val="24"/>
          <w:szCs w:val="24"/>
        </w:rPr>
        <w:t>。</w:t>
      </w:r>
    </w:p>
    <w:p w14:paraId="1323C909">
      <w:pPr>
        <w:pStyle w:val="10"/>
        <w:spacing w:line="360" w:lineRule="auto"/>
        <w:ind w:firstLine="482" w:firstLineChars="200"/>
        <w:jc w:val="both"/>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9.安全保密要求</w:t>
      </w:r>
    </w:p>
    <w:p w14:paraId="5A91181F">
      <w:pPr>
        <w:pStyle w:val="10"/>
        <w:spacing w:before="105"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针对公安工作的特殊性，中标人须遵守如下保密义务：</w:t>
      </w:r>
    </w:p>
    <w:p w14:paraId="0A88D3A9">
      <w:pPr>
        <w:pStyle w:val="10"/>
        <w:spacing w:before="105"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中标人应对参与项目工作人员严格要求，加强安全保密教育，遵守保密相关法律、法规和规章制度，严防失泄密。中标人须和履行该项目涉及的各单位、厂商与采购人签订保密协议，其驻场研发、维护人员应向采购人提交保密承诺书，遵照采购人关于第三方合作单位及人员管理相关规定的要求开展工作，遵守采购人有关警务工作秘密的相关管理规定，不得向第三方泄露采购人提供的资料数据。</w:t>
      </w:r>
    </w:p>
    <w:p w14:paraId="2625E895">
      <w:pPr>
        <w:pStyle w:val="10"/>
        <w:spacing w:before="105"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（2）中标人研发、维护人员开展工作需严格遵守以下要求，违反以下行为，将从服务考核中扣取相关分数，服务考核分数与付款相关。</w:t>
      </w:r>
    </w:p>
    <w:p w14:paraId="2DBD1AAA">
      <w:pPr>
        <w:pStyle w:val="10"/>
        <w:spacing w:before="105"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中标人研发、维护人员对信息系统进行任何安装、升级、调优等操作布署，需提前报系统所属的厅属各单位审批，对于系统部署在采购人机房（含租用机房）的，还需采购人运维管理部门审批后方可进行。对必须进入机房操作的，系统所属单位必须安排民警全程陪同。违反以上规定的，单次在服务考核中扣1分，扣分累计，上不封顶。</w:t>
      </w:r>
    </w:p>
    <w:p w14:paraId="32DE004B">
      <w:pPr>
        <w:pStyle w:val="10"/>
        <w:spacing w:before="105"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中标人研发、维护人员只允许在采购人指定的服务区域内使用专机进行操作，且使用的专机不得开启远程桌面控制功能。严禁未经授权自带笔记本等接入各类公安网络，非因系统开发、维护需要，不得擅自浏览公安网信息及查询公安信息系统。违反以上规定的，单次在服务考核中扣2分，扣分累计，上不封顶。</w:t>
      </w:r>
    </w:p>
    <w:p w14:paraId="4C49DF73">
      <w:pPr>
        <w:pStyle w:val="10"/>
        <w:spacing w:before="105"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中标人研发、维护人员不得私自留存、下载、复制、发布或向任何人、机构泄露公安数据信息及公安网信息；未经采购人允许且非系统开发维护需要，相关人员均不得私自对应用系统及数据库进行相关操作；严禁将各信息系统数据以移动存储介质的方式下载及带出公安机关（含租用机房）。严禁将各类公安网络内的公安数据拷贝到互联网；严禁使用公安民警数字证书进行信息查询；严禁将公安网络计算机连接至互联网。违反以上规定的，单次在服务考核中扣5分，扣分累计，上不封顶。</w:t>
      </w:r>
    </w:p>
    <w:p w14:paraId="62C8FD24">
      <w:pPr>
        <w:pStyle w:val="10"/>
        <w:spacing w:before="105"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中标人研发、维护人员开展工作应纳入采购人运维人员管理体系中，应按照“谁申请，谁负责”的原则规范申请运维数字证书、云桌面及堡垒机账号，严禁出借运维数字证书及账号，数字证书及账号申请人对该账号负有完全的责任。除确因工作需要办理相关手续外，严禁绕过云桌面及堡垒机直接登陆应用系统或连接数据库。违反以上规定的，以危害公安信息系统安全事件处理，单次在服务考核中扣10分，扣分累计上不封顶。</w:t>
      </w:r>
    </w:p>
    <w:p w14:paraId="56440AB3">
      <w:pPr>
        <w:pStyle w:val="10"/>
        <w:spacing w:before="105"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中标人驻场研发、维护人员不得篡改、窃取、贩卖公安数据信息及公安网信息；不得在公安网络内释放病毒、木马或设置后门等破坏公安信息系统或窃取公安信息资源的相关技术及代码。违反以上规定的，立即中止其工作，并按照法律流程追究相关责任，在服务考核中扣50分。</w:t>
      </w:r>
    </w:p>
    <w:p w14:paraId="5B3CA6D2">
      <w:pPr>
        <w:pStyle w:val="10"/>
        <w:spacing w:line="360" w:lineRule="auto"/>
        <w:ind w:firstLine="482" w:firstLineChars="200"/>
        <w:jc w:val="both"/>
        <w:outlineLvl w:val="3"/>
        <w:rPr>
          <w:rFonts w:hint="eastAsia" w:asciiTheme="minorEastAsia" w:hAnsi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rPr>
        <w:t>10.</w:t>
      </w:r>
      <w:r>
        <w:rPr>
          <w:rFonts w:hint="eastAsia" w:asciiTheme="minorEastAsia" w:hAnsiTheme="minorEastAsia" w:cstheme="minorEastAsia"/>
          <w:b/>
          <w:color w:val="auto"/>
          <w:sz w:val="24"/>
          <w:szCs w:val="24"/>
          <w:lang w:val="en-US" w:eastAsia="zh-CN"/>
        </w:rPr>
        <w:t>网络安全要求</w:t>
      </w:r>
    </w:p>
    <w:p w14:paraId="6405BA8A">
      <w:pPr>
        <w:pStyle w:val="10"/>
        <w:spacing w:line="360" w:lineRule="auto"/>
        <w:ind w:firstLine="480" w:firstLineChars="200"/>
        <w:jc w:val="both"/>
        <w:outlineLvl w:val="9"/>
        <w:rPr>
          <w:rFonts w:hint="eastAsia" w:asciiTheme="minorEastAsia" w:hAnsiTheme="minorEastAsia" w:eastAsiaTheme="minorEastAsia" w:cstheme="minorEastAsia"/>
          <w:b/>
          <w:color w:val="auto"/>
          <w:sz w:val="24"/>
          <w:szCs w:val="24"/>
        </w:rPr>
      </w:pPr>
      <w:r>
        <w:rPr>
          <w:rFonts w:hint="eastAsia" w:asciiTheme="minorEastAsia" w:hAnsiTheme="minorEastAsia" w:cstheme="minorEastAsia"/>
          <w:b w:val="0"/>
          <w:color w:val="auto"/>
          <w:sz w:val="24"/>
          <w:szCs w:val="24"/>
          <w:lang w:val="en-US" w:eastAsia="zh-CN"/>
        </w:rPr>
        <w:t>为</w:t>
      </w:r>
      <w:r>
        <w:rPr>
          <w:rFonts w:hint="eastAsia" w:asciiTheme="minorEastAsia" w:hAnsiTheme="minorEastAsia" w:eastAsiaTheme="minorEastAsia" w:cstheme="minorEastAsia"/>
          <w:b w:val="0"/>
          <w:color w:val="auto"/>
          <w:sz w:val="24"/>
          <w:szCs w:val="24"/>
        </w:rPr>
        <w:t>切实加强</w:t>
      </w:r>
      <w:r>
        <w:rPr>
          <w:rFonts w:hint="eastAsia" w:asciiTheme="minorEastAsia" w:hAnsiTheme="minorEastAsia" w:cstheme="minorEastAsia"/>
          <w:b w:val="0"/>
          <w:color w:val="auto"/>
          <w:sz w:val="24"/>
          <w:szCs w:val="24"/>
          <w:lang w:val="en-US" w:eastAsia="zh-CN"/>
        </w:rPr>
        <w:t>采购人</w:t>
      </w:r>
      <w:r>
        <w:rPr>
          <w:rFonts w:hint="eastAsia" w:asciiTheme="minorEastAsia" w:hAnsiTheme="minorEastAsia" w:eastAsiaTheme="minorEastAsia" w:cstheme="minorEastAsia"/>
          <w:b w:val="0"/>
          <w:color w:val="auto"/>
          <w:sz w:val="24"/>
          <w:szCs w:val="24"/>
        </w:rPr>
        <w:t>信息化供应链安全监管，</w:t>
      </w:r>
      <w:r>
        <w:rPr>
          <w:rFonts w:hint="eastAsia" w:asciiTheme="minorEastAsia" w:hAnsiTheme="minorEastAsia" w:cstheme="minorEastAsia"/>
          <w:b w:val="0"/>
          <w:color w:val="auto"/>
          <w:sz w:val="24"/>
          <w:szCs w:val="24"/>
          <w:lang w:val="en-US" w:eastAsia="zh-CN"/>
        </w:rPr>
        <w:t>中标人应遵守采购人相关网络安全规定，签署网络安全合同，明确必要的网络安全、数据安全和个人信息保护内容等安全条款。</w:t>
      </w:r>
    </w:p>
    <w:p w14:paraId="5FC8D7F4">
      <w:pPr>
        <w:pStyle w:val="10"/>
        <w:spacing w:line="360" w:lineRule="auto"/>
        <w:ind w:firstLine="482" w:firstLineChars="200"/>
        <w:jc w:val="both"/>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w:t>
      </w:r>
      <w:r>
        <w:rPr>
          <w:rFonts w:hint="eastAsia" w:asciiTheme="minorEastAsia" w:hAnsiTheme="minorEastAsia" w:cstheme="minorEastAsia"/>
          <w:b/>
          <w:color w:val="auto"/>
          <w:sz w:val="24"/>
          <w:szCs w:val="24"/>
          <w:lang w:val="en-US" w:eastAsia="zh-CN"/>
        </w:rPr>
        <w:t>1</w:t>
      </w:r>
      <w:r>
        <w:rPr>
          <w:rFonts w:hint="eastAsia" w:asciiTheme="minorEastAsia" w:hAnsiTheme="minorEastAsia" w:eastAsiaTheme="minorEastAsia" w:cstheme="minorEastAsia"/>
          <w:b/>
          <w:color w:val="auto"/>
          <w:sz w:val="24"/>
          <w:szCs w:val="24"/>
        </w:rPr>
        <w:t>.违约责任</w:t>
      </w:r>
    </w:p>
    <w:p w14:paraId="25B06BAC">
      <w:pPr>
        <w:pStyle w:val="10"/>
        <w:spacing w:before="105" w:after="105"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（1）中标人因自身原因造成采购服务合同无法按时签订的，视为中标人违约，采购人有权取消中标人的中标资格，由此给采购人造成任何损失的，中标人应予赔偿。</w:t>
      </w:r>
    </w:p>
    <w:p w14:paraId="13DDD84C">
      <w:pPr>
        <w:pStyle w:val="10"/>
        <w:spacing w:before="105" w:after="105"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（2）中标人若要求解除合同视为违约，应向采购人支付合同总额20%的违约金，并赔偿由此给采购人造成的所有损失。</w:t>
      </w:r>
    </w:p>
    <w:p w14:paraId="1EDAD2BA">
      <w:pPr>
        <w:pStyle w:val="10"/>
        <w:spacing w:before="105" w:after="105"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（3）中标人因自身原因发生重大质量事故的，除依约承担赔偿责任外，还应承担相应的法律责任。同时，采购人有权单方解除服务合同，并报相关行政主管部门处罚。</w:t>
      </w:r>
    </w:p>
    <w:p w14:paraId="2055C6BA">
      <w:pPr>
        <w:pStyle w:val="10"/>
        <w:spacing w:before="105" w:after="105"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（4）若中标人未依约履行日常维护、故障维护等义务导致项目无法正常运行的，则采购人有权直接委托第三方进行维护或维修，产生的费用均由中标人承担。</w:t>
      </w:r>
    </w:p>
    <w:p w14:paraId="7C472554">
      <w:pPr>
        <w:pStyle w:val="10"/>
        <w:spacing w:before="105" w:after="105"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任何一方因违约行为给对方造成损失的，应承担赔偿责任，任何一方所采取必要的补救措施而发生的相关费用（包括但不限于诉讼费、公告费、财产保全费、财产保全担保费、执行费、评估费、拍卖费、律师费、差旅费等）均由违约方承担。</w:t>
      </w:r>
    </w:p>
    <w:p w14:paraId="0E51CEC3">
      <w:pPr>
        <w:pStyle w:val="10"/>
        <w:spacing w:before="105" w:after="105"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（6）中标人应承担的违约金、赔偿金等款项，采购人均有权自应付给投标人的款项中直接扣除；若违约金、赔偿金等款项不足以弥补采购人实际损失的，则采购人有权继续向违约方追偿。</w:t>
      </w:r>
    </w:p>
    <w:p w14:paraId="40B9E718">
      <w:pPr>
        <w:pStyle w:val="10"/>
        <w:spacing w:before="105" w:after="105"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中标人提供的产品或服务不满足招标文件与合同要求，或服务交付超期的，视为违约，采购人有权单方解除服务合同，中标人应向采购人支付采购标的总额20%的违约金，并赔偿由此给采购人造成的所有损失。</w:t>
      </w:r>
    </w:p>
    <w:p w14:paraId="21094ADC">
      <w:pPr>
        <w:pStyle w:val="10"/>
        <w:spacing w:before="105" w:after="105"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8</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中标人相关人员违反保密约定或保密承诺的，应当按合同总价20%向采购人支付违约金；多次违反保密规定拒不整改保密风险隐患的，采购人有权作出包括但不限于立即停止合作并解除合同、不再将其列入合作范围、报政府采购和市场监督管理部门列入严重失信名单、具有涉密资质的单位报国家保密行政管理部门撤销其涉密资质等惩戒措施，由此造成的直接损失和间接损失全部由中标人赔偿。对违反法律规定窃密、泄密构成违法犯罪的，将依法追究中标人法定责任人和直接责任人的刑事责任。</w:t>
      </w:r>
    </w:p>
    <w:p w14:paraId="3CB06FDA">
      <w:pPr>
        <w:pStyle w:val="10"/>
        <w:spacing w:line="360" w:lineRule="auto"/>
        <w:ind w:firstLine="482" w:firstLineChars="200"/>
        <w:jc w:val="both"/>
        <w:outlineLvl w:val="3"/>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1</w:t>
      </w:r>
      <w:r>
        <w:rPr>
          <w:rFonts w:hint="eastAsia" w:asciiTheme="minorEastAsia" w:hAnsiTheme="minorEastAsia" w:cstheme="minorEastAsia"/>
          <w:b/>
          <w:color w:val="auto"/>
          <w:sz w:val="24"/>
          <w:szCs w:val="24"/>
          <w:lang w:val="en-US" w:eastAsia="zh-CN"/>
        </w:rPr>
        <w:t>2.</w:t>
      </w:r>
      <w:r>
        <w:rPr>
          <w:rFonts w:hint="eastAsia" w:asciiTheme="minorEastAsia" w:hAnsiTheme="minorEastAsia" w:eastAsiaTheme="minorEastAsia" w:cstheme="minorEastAsia"/>
          <w:b/>
          <w:color w:val="auto"/>
          <w:sz w:val="24"/>
          <w:szCs w:val="24"/>
        </w:rPr>
        <w:t>仲裁、诉讼条款</w:t>
      </w:r>
    </w:p>
    <w:p w14:paraId="6769DF6E">
      <w:pPr>
        <w:pStyle w:val="10"/>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因采购或与采购合同有关的一切事项发生争议，由采购人和中标人双方友好协商解决。协商不成的，任何一方均应向采购人所在地有管辖权的人民法院提起诉讼。守约方因主张权利所发生的费用(包括但不限于诉讼费、诉讼保全费、律师费、差旅费等)，均由违约方承担。</w:t>
      </w:r>
    </w:p>
    <w:p w14:paraId="18476C08">
      <w:pPr>
        <w:spacing w:line="56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13.</w:t>
      </w:r>
      <w:r>
        <w:rPr>
          <w:rFonts w:hint="eastAsia" w:asciiTheme="minorEastAsia" w:hAnsiTheme="minorEastAsia" w:eastAsiaTheme="minorEastAsia" w:cstheme="minorEastAsia"/>
          <w:b/>
          <w:bCs/>
          <w:color w:val="auto"/>
          <w:kern w:val="0"/>
          <w:sz w:val="24"/>
          <w:szCs w:val="24"/>
          <w:lang w:val="en-US" w:eastAsia="zh-Hans"/>
        </w:rPr>
        <w:t>廉政承诺书</w:t>
      </w:r>
      <w:r>
        <w:rPr>
          <w:rFonts w:hint="eastAsia" w:asciiTheme="minorEastAsia" w:hAnsiTheme="minorEastAsia" w:eastAsiaTheme="minorEastAsia" w:cstheme="minorEastAsia"/>
          <w:b/>
          <w:bCs/>
          <w:color w:val="auto"/>
          <w:kern w:val="0"/>
          <w:sz w:val="24"/>
          <w:szCs w:val="24"/>
          <w:lang w:val="en-US" w:eastAsia="zh-CN"/>
        </w:rPr>
        <w:t>模板</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6C8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6C30BC8">
            <w:pPr>
              <w:spacing w:line="560" w:lineRule="exact"/>
              <w:jc w:val="both"/>
              <w:rPr>
                <w:rFonts w:hint="eastAsia" w:hAnsi="宋体"/>
                <w:b/>
                <w:color w:val="auto"/>
                <w:sz w:val="44"/>
                <w:szCs w:val="44"/>
              </w:rPr>
            </w:pPr>
            <w:r>
              <w:rPr>
                <w:rFonts w:hint="eastAsia" w:hAnsi="宋体"/>
                <w:b/>
                <w:color w:val="auto"/>
                <w:sz w:val="44"/>
                <w:szCs w:val="44"/>
              </w:rPr>
              <w:t>福建省公安厅信息化维保服务项目</w:t>
            </w:r>
          </w:p>
          <w:p w14:paraId="3349828C">
            <w:pPr>
              <w:spacing w:line="560" w:lineRule="exact"/>
              <w:jc w:val="center"/>
              <w:rPr>
                <w:rFonts w:hint="eastAsia" w:ascii="宋体" w:hAnsi="宋体"/>
                <w:b/>
                <w:color w:val="auto"/>
                <w:sz w:val="44"/>
                <w:szCs w:val="44"/>
              </w:rPr>
            </w:pPr>
            <w:r>
              <w:rPr>
                <w:rFonts w:hint="eastAsia" w:ascii="宋体" w:hAnsi="宋体"/>
                <w:b/>
                <w:color w:val="auto"/>
                <w:sz w:val="44"/>
                <w:szCs w:val="44"/>
              </w:rPr>
              <w:t>廉政承诺书</w:t>
            </w:r>
          </w:p>
          <w:p w14:paraId="34BF2CA5">
            <w:pPr>
              <w:adjustRightInd w:val="0"/>
              <w:snapToGrid w:val="0"/>
              <w:spacing w:line="400" w:lineRule="atLeast"/>
              <w:jc w:val="center"/>
              <w:rPr>
                <w:color w:val="auto"/>
                <w:sz w:val="28"/>
                <w:szCs w:val="28"/>
              </w:rPr>
            </w:pPr>
          </w:p>
          <w:p w14:paraId="73B2A572">
            <w:pPr>
              <w:adjustRightInd w:val="0"/>
              <w:spacing w:line="360" w:lineRule="auto"/>
              <w:ind w:firstLine="480" w:firstLineChars="200"/>
              <w:rPr>
                <w:rFonts w:hint="eastAsia" w:asciiTheme="minorEastAsia" w:hAnsiTheme="minorEastAsia" w:eastAsiaTheme="minorEastAsia" w:cstheme="minorEastAsia"/>
                <w:b w:val="0"/>
                <w:bCs w:val="0"/>
                <w:color w:val="auto"/>
                <w:kern w:val="0"/>
                <w:sz w:val="24"/>
                <w:szCs w:val="24"/>
                <w:lang w:val="en-US" w:eastAsia="zh-Hans"/>
              </w:rPr>
            </w:pPr>
            <w:r>
              <w:rPr>
                <w:rFonts w:hint="eastAsia" w:asciiTheme="minorEastAsia" w:hAnsiTheme="minorEastAsia" w:eastAsiaTheme="minorEastAsia" w:cstheme="minorEastAsia"/>
                <w:b w:val="0"/>
                <w:bCs w:val="0"/>
                <w:color w:val="auto"/>
                <w:kern w:val="0"/>
                <w:sz w:val="24"/>
                <w:szCs w:val="24"/>
                <w:lang w:val="en-US" w:eastAsia="zh-Hans"/>
              </w:rPr>
              <w:t>根据国家有关法律法规，为防止厅机关项目建设过程中发生行贿受贿、弄虚作假、贪污腐败等违法违纪行为，确保工程质量，打造廉洁工程，投标单位或项目承建单位特郑重承诺：</w:t>
            </w:r>
          </w:p>
          <w:p w14:paraId="2CDFE56C">
            <w:pPr>
              <w:adjustRightInd w:val="0"/>
              <w:spacing w:line="360" w:lineRule="auto"/>
              <w:ind w:firstLine="480" w:firstLineChars="200"/>
              <w:rPr>
                <w:rFonts w:hint="eastAsia" w:asciiTheme="minorEastAsia" w:hAnsiTheme="minorEastAsia" w:eastAsiaTheme="minorEastAsia" w:cstheme="minorEastAsia"/>
                <w:b w:val="0"/>
                <w:bCs w:val="0"/>
                <w:color w:val="auto"/>
                <w:kern w:val="0"/>
                <w:sz w:val="24"/>
                <w:szCs w:val="24"/>
                <w:lang w:val="en-US" w:eastAsia="zh-Hans"/>
              </w:rPr>
            </w:pPr>
            <w:r>
              <w:rPr>
                <w:rFonts w:hint="eastAsia" w:asciiTheme="minorEastAsia" w:hAnsiTheme="minorEastAsia" w:eastAsiaTheme="minorEastAsia" w:cstheme="minorEastAsia"/>
                <w:b w:val="0"/>
                <w:bCs w:val="0"/>
                <w:color w:val="auto"/>
                <w:kern w:val="0"/>
                <w:sz w:val="24"/>
                <w:szCs w:val="24"/>
                <w:lang w:val="en-US" w:eastAsia="zh-Hans"/>
              </w:rPr>
              <w:t xml:space="preserve">一、严格遵守国家法律法规、廉洁从业的有关制度、规定和中共福建省公安厅委员会《关于进一步加强和改进项目建设管理监督工作的实施意见》有关廉政建设的各项要求，坚决杜绝项目建设中的腐败行为，确保项目建设顺利进行。 </w:t>
            </w:r>
          </w:p>
          <w:p w14:paraId="4A66569B">
            <w:pPr>
              <w:adjustRightInd w:val="0"/>
              <w:spacing w:line="360" w:lineRule="auto"/>
              <w:ind w:firstLine="480" w:firstLineChars="200"/>
              <w:rPr>
                <w:rFonts w:hint="eastAsia" w:asciiTheme="minorEastAsia" w:hAnsiTheme="minorEastAsia" w:eastAsiaTheme="minorEastAsia" w:cstheme="minorEastAsia"/>
                <w:b w:val="0"/>
                <w:bCs w:val="0"/>
                <w:color w:val="auto"/>
                <w:kern w:val="0"/>
                <w:sz w:val="24"/>
                <w:szCs w:val="24"/>
                <w:lang w:val="en-US" w:eastAsia="zh-Hans"/>
              </w:rPr>
            </w:pPr>
            <w:r>
              <w:rPr>
                <w:rFonts w:hint="eastAsia" w:asciiTheme="minorEastAsia" w:hAnsiTheme="minorEastAsia" w:eastAsiaTheme="minorEastAsia" w:cstheme="minorEastAsia"/>
                <w:b w:val="0"/>
                <w:bCs w:val="0"/>
                <w:color w:val="auto"/>
                <w:kern w:val="0"/>
                <w:sz w:val="24"/>
                <w:szCs w:val="24"/>
                <w:lang w:val="en-US" w:eastAsia="zh-Hans"/>
              </w:rPr>
              <w:t>二、依法办事，诚实守信，遵守职业道德，不弄虚作假，不以非正当手段参与招投标和项目建设，不从事损害国家利益、社会公共利益和建设单位合法权益的活动。</w:t>
            </w:r>
          </w:p>
          <w:p w14:paraId="2165A035">
            <w:pPr>
              <w:adjustRightInd w:val="0"/>
              <w:spacing w:line="360" w:lineRule="auto"/>
              <w:ind w:firstLine="480" w:firstLineChars="200"/>
              <w:rPr>
                <w:rFonts w:hint="eastAsia" w:asciiTheme="minorEastAsia" w:hAnsiTheme="minorEastAsia" w:eastAsiaTheme="minorEastAsia" w:cstheme="minorEastAsia"/>
                <w:b w:val="0"/>
                <w:bCs w:val="0"/>
                <w:color w:val="auto"/>
                <w:kern w:val="0"/>
                <w:sz w:val="24"/>
                <w:szCs w:val="24"/>
                <w:lang w:val="en-US" w:eastAsia="zh-Hans"/>
              </w:rPr>
            </w:pPr>
            <w:r>
              <w:rPr>
                <w:rFonts w:hint="eastAsia" w:asciiTheme="minorEastAsia" w:hAnsiTheme="minorEastAsia" w:eastAsiaTheme="minorEastAsia" w:cstheme="minorEastAsia"/>
                <w:b w:val="0"/>
                <w:bCs w:val="0"/>
                <w:color w:val="auto"/>
                <w:kern w:val="0"/>
                <w:sz w:val="24"/>
                <w:szCs w:val="24"/>
                <w:lang w:val="en-US" w:eastAsia="zh-Hans"/>
              </w:rPr>
              <w:t>三、不以回扣、劳务费、咨询费、服务费等名义向建设单位相关人员行贿或赠送礼品、礼金、有价证券、支付凭证等；不为建设单位相关人员安排和提供宴请、旅游、交通工具、高消费娱乐等其它活动和好处。</w:t>
            </w:r>
          </w:p>
          <w:p w14:paraId="790A24B1">
            <w:pPr>
              <w:adjustRightInd w:val="0"/>
              <w:spacing w:line="360" w:lineRule="auto"/>
              <w:ind w:firstLine="480" w:firstLineChars="200"/>
              <w:rPr>
                <w:rFonts w:hint="eastAsia" w:asciiTheme="minorEastAsia" w:hAnsiTheme="minorEastAsia" w:eastAsiaTheme="minorEastAsia" w:cstheme="minorEastAsia"/>
                <w:b w:val="0"/>
                <w:bCs w:val="0"/>
                <w:color w:val="auto"/>
                <w:kern w:val="0"/>
                <w:sz w:val="24"/>
                <w:szCs w:val="24"/>
                <w:lang w:val="en-US" w:eastAsia="zh-Hans"/>
              </w:rPr>
            </w:pPr>
            <w:r>
              <w:rPr>
                <w:rFonts w:hint="eastAsia" w:asciiTheme="minorEastAsia" w:hAnsiTheme="minorEastAsia" w:eastAsiaTheme="minorEastAsia" w:cstheme="minorEastAsia"/>
                <w:b w:val="0"/>
                <w:bCs w:val="0"/>
                <w:color w:val="auto"/>
                <w:kern w:val="0"/>
                <w:sz w:val="24"/>
                <w:szCs w:val="24"/>
                <w:lang w:val="en-US" w:eastAsia="zh-Hans"/>
              </w:rPr>
              <w:t>四、不向招标代理机构、评标委员会、竞争性谈判小组或询价小组成员行贿或提供其它不正当利益。</w:t>
            </w:r>
          </w:p>
          <w:p w14:paraId="69AD94A2">
            <w:pPr>
              <w:adjustRightInd w:val="0"/>
              <w:spacing w:line="360" w:lineRule="auto"/>
              <w:ind w:firstLine="480" w:firstLineChars="200"/>
              <w:rPr>
                <w:rFonts w:hint="eastAsia" w:asciiTheme="minorEastAsia" w:hAnsiTheme="minorEastAsia" w:eastAsiaTheme="minorEastAsia" w:cstheme="minorEastAsia"/>
                <w:b w:val="0"/>
                <w:bCs w:val="0"/>
                <w:color w:val="auto"/>
                <w:kern w:val="0"/>
                <w:sz w:val="24"/>
                <w:szCs w:val="24"/>
                <w:lang w:val="en-US" w:eastAsia="zh-Hans"/>
              </w:rPr>
            </w:pPr>
            <w:r>
              <w:rPr>
                <w:rFonts w:hint="eastAsia" w:asciiTheme="minorEastAsia" w:hAnsiTheme="minorEastAsia" w:eastAsiaTheme="minorEastAsia" w:cstheme="minorEastAsia"/>
                <w:b w:val="0"/>
                <w:bCs w:val="0"/>
                <w:color w:val="auto"/>
                <w:kern w:val="0"/>
                <w:sz w:val="24"/>
                <w:szCs w:val="24"/>
                <w:lang w:val="en-US" w:eastAsia="zh-Hans"/>
              </w:rPr>
              <w:t>五、对项目经费收支情况单独核算，在建设单位认为必要时，应积极配合、协助对项目实施延伸审计。</w:t>
            </w:r>
          </w:p>
          <w:p w14:paraId="53792860">
            <w:pPr>
              <w:adjustRightInd w:val="0"/>
              <w:spacing w:line="360" w:lineRule="auto"/>
              <w:ind w:firstLine="480" w:firstLineChars="200"/>
              <w:rPr>
                <w:rFonts w:hint="eastAsia" w:asciiTheme="minorEastAsia" w:hAnsiTheme="minorEastAsia" w:eastAsiaTheme="minorEastAsia" w:cstheme="minorEastAsia"/>
                <w:b w:val="0"/>
                <w:bCs w:val="0"/>
                <w:color w:val="auto"/>
                <w:kern w:val="0"/>
                <w:sz w:val="24"/>
                <w:szCs w:val="24"/>
                <w:lang w:val="en-US" w:eastAsia="zh-Hans"/>
              </w:rPr>
            </w:pPr>
            <w:r>
              <w:rPr>
                <w:rFonts w:hint="eastAsia" w:asciiTheme="minorEastAsia" w:hAnsiTheme="minorEastAsia" w:eastAsiaTheme="minorEastAsia" w:cstheme="minorEastAsia"/>
                <w:b w:val="0"/>
                <w:bCs w:val="0"/>
                <w:color w:val="auto"/>
                <w:kern w:val="0"/>
                <w:sz w:val="24"/>
                <w:szCs w:val="24"/>
                <w:lang w:val="en-US" w:eastAsia="zh-Hans"/>
              </w:rPr>
              <w:t>六、及时举报建设单位相关人员提出的不正当要求，并将履行廉政承诺的情况作为项目实施内容适时向建设单位报告。</w:t>
            </w:r>
          </w:p>
          <w:p w14:paraId="5F0AC626">
            <w:pPr>
              <w:adjustRightInd w:val="0"/>
              <w:spacing w:line="360" w:lineRule="auto"/>
              <w:ind w:firstLine="470" w:firstLineChars="196"/>
              <w:rPr>
                <w:rFonts w:hint="eastAsia" w:asciiTheme="minorEastAsia" w:hAnsiTheme="minorEastAsia" w:eastAsiaTheme="minorEastAsia" w:cstheme="minorEastAsia"/>
                <w:b w:val="0"/>
                <w:bCs w:val="0"/>
                <w:color w:val="auto"/>
                <w:kern w:val="0"/>
                <w:sz w:val="24"/>
                <w:szCs w:val="24"/>
                <w:lang w:val="en-US" w:eastAsia="zh-Hans"/>
              </w:rPr>
            </w:pPr>
            <w:r>
              <w:rPr>
                <w:rFonts w:hint="eastAsia" w:asciiTheme="minorEastAsia" w:hAnsiTheme="minorEastAsia" w:eastAsiaTheme="minorEastAsia" w:cstheme="minorEastAsia"/>
                <w:b w:val="0"/>
                <w:bCs w:val="0"/>
                <w:color w:val="auto"/>
                <w:kern w:val="0"/>
                <w:sz w:val="24"/>
                <w:szCs w:val="24"/>
                <w:lang w:val="en-US" w:eastAsia="zh-Hans"/>
              </w:rPr>
              <w:t>如违反上述承诺，愿意承担建设单位所采取的终止合作、列入不良行为记录、五年内不得参与公安系统政府采购项目、移送司法机关等处罚，并承担建设单位由此造成的一切损失和法律责任，放弃主张返还履约保证金的权利。</w:t>
            </w:r>
          </w:p>
          <w:p w14:paraId="71EDB7B0">
            <w:pPr>
              <w:adjustRightInd w:val="0"/>
              <w:spacing w:line="360" w:lineRule="auto"/>
              <w:ind w:firstLine="470" w:firstLineChars="196"/>
              <w:rPr>
                <w:rFonts w:hint="eastAsia" w:asciiTheme="minorEastAsia" w:hAnsiTheme="minorEastAsia" w:eastAsiaTheme="minorEastAsia" w:cstheme="minorEastAsia"/>
                <w:b w:val="0"/>
                <w:bCs w:val="0"/>
                <w:color w:val="auto"/>
                <w:kern w:val="0"/>
                <w:sz w:val="24"/>
                <w:szCs w:val="24"/>
                <w:lang w:val="en-US" w:eastAsia="zh-Hans"/>
              </w:rPr>
            </w:pPr>
            <w:r>
              <w:rPr>
                <w:rFonts w:hint="eastAsia" w:asciiTheme="minorEastAsia" w:hAnsiTheme="minorEastAsia" w:eastAsiaTheme="minorEastAsia" w:cstheme="minorEastAsia"/>
                <w:b w:val="0"/>
                <w:bCs w:val="0"/>
                <w:color w:val="auto"/>
                <w:kern w:val="0"/>
                <w:sz w:val="24"/>
                <w:szCs w:val="24"/>
                <w:lang w:val="en-US" w:eastAsia="zh-Hans"/>
              </w:rPr>
              <w:t>本承诺书经签字盖章后生效，并保存于项目建设单位。</w:t>
            </w:r>
          </w:p>
          <w:p w14:paraId="58691746">
            <w:pPr>
              <w:spacing w:line="360" w:lineRule="auto"/>
              <w:ind w:right="560"/>
              <w:rPr>
                <w:rFonts w:hint="eastAsia" w:asciiTheme="minorEastAsia" w:hAnsiTheme="minorEastAsia" w:eastAsiaTheme="minorEastAsia" w:cstheme="minorEastAsia"/>
                <w:b w:val="0"/>
                <w:bCs w:val="0"/>
                <w:color w:val="auto"/>
                <w:kern w:val="0"/>
                <w:sz w:val="24"/>
                <w:szCs w:val="24"/>
                <w:lang w:val="en-US" w:eastAsia="zh-Hans"/>
              </w:rPr>
            </w:pPr>
          </w:p>
          <w:p w14:paraId="7582641E">
            <w:pPr>
              <w:spacing w:line="360" w:lineRule="auto"/>
              <w:ind w:right="500"/>
              <w:jc w:val="center"/>
              <w:rPr>
                <w:rFonts w:hint="eastAsia" w:asciiTheme="minorEastAsia" w:hAnsiTheme="minorEastAsia" w:eastAsiaTheme="minorEastAsia" w:cstheme="minorEastAsia"/>
                <w:b w:val="0"/>
                <w:bCs w:val="0"/>
                <w:color w:val="auto"/>
                <w:kern w:val="0"/>
                <w:sz w:val="24"/>
                <w:szCs w:val="24"/>
                <w:lang w:val="en-US" w:eastAsia="zh-Hans"/>
              </w:rPr>
            </w:pPr>
            <w:r>
              <w:rPr>
                <w:rFonts w:hint="eastAsia" w:asciiTheme="minorEastAsia" w:hAnsiTheme="minorEastAsia" w:eastAsiaTheme="minorEastAsia" w:cstheme="minorEastAsia"/>
                <w:b w:val="0"/>
                <w:bCs w:val="0"/>
                <w:color w:val="auto"/>
                <w:kern w:val="0"/>
                <w:sz w:val="24"/>
                <w:szCs w:val="24"/>
                <w:lang w:val="en-US" w:eastAsia="zh-CN"/>
              </w:rPr>
              <w:t xml:space="preserve">              </w:t>
            </w:r>
            <w:r>
              <w:rPr>
                <w:rFonts w:hint="eastAsia" w:asciiTheme="minorEastAsia" w:hAnsiTheme="minorEastAsia" w:eastAsiaTheme="minorEastAsia" w:cstheme="minorEastAsia"/>
                <w:b w:val="0"/>
                <w:bCs w:val="0"/>
                <w:color w:val="auto"/>
                <w:kern w:val="0"/>
                <w:sz w:val="24"/>
                <w:szCs w:val="24"/>
                <w:lang w:val="en-US" w:eastAsia="zh-Hans"/>
              </w:rPr>
              <w:t>投标单位：</w:t>
            </w:r>
          </w:p>
          <w:p w14:paraId="247EFECD">
            <w:pPr>
              <w:wordWrap w:val="0"/>
              <w:spacing w:line="360" w:lineRule="auto"/>
              <w:ind w:right="800"/>
              <w:jc w:val="right"/>
              <w:rPr>
                <w:rFonts w:hint="eastAsia" w:asciiTheme="minorEastAsia" w:hAnsiTheme="minorEastAsia" w:eastAsiaTheme="minorEastAsia" w:cstheme="minorEastAsia"/>
                <w:b w:val="0"/>
                <w:bCs w:val="0"/>
                <w:color w:val="auto"/>
                <w:kern w:val="0"/>
                <w:sz w:val="24"/>
                <w:szCs w:val="24"/>
                <w:lang w:val="en-US" w:eastAsia="zh-Hans"/>
              </w:rPr>
            </w:pPr>
            <w:r>
              <w:rPr>
                <w:rFonts w:hint="eastAsia" w:asciiTheme="minorEastAsia" w:hAnsiTheme="minorEastAsia" w:eastAsiaTheme="minorEastAsia" w:cstheme="minorEastAsia"/>
                <w:b w:val="0"/>
                <w:bCs w:val="0"/>
                <w:color w:val="auto"/>
                <w:kern w:val="0"/>
                <w:sz w:val="24"/>
                <w:szCs w:val="24"/>
                <w:lang w:val="en-US" w:eastAsia="zh-Hans"/>
              </w:rPr>
              <w:t>年    月    日</w:t>
            </w:r>
          </w:p>
          <w:p w14:paraId="768A5C71">
            <w:pPr>
              <w:spacing w:line="560" w:lineRule="exact"/>
              <w:jc w:val="both"/>
              <w:rPr>
                <w:rFonts w:hint="eastAsia" w:hAnsi="宋体"/>
                <w:b/>
                <w:color w:val="auto"/>
                <w:sz w:val="44"/>
                <w:szCs w:val="44"/>
                <w:vertAlign w:val="baseline"/>
              </w:rPr>
            </w:pPr>
            <w:r>
              <w:rPr>
                <w:rFonts w:ascii="宋体" w:hAnsi="宋体" w:eastAsia="宋体" w:cs="宋体"/>
                <w:b/>
                <w:color w:val="auto"/>
                <w:sz w:val="24"/>
              </w:rPr>
              <w:t>注：参与本项目的每个投标人均须在投标文件技术商务部分提供《廉政承诺书》，否则视为无效投标。</w:t>
            </w:r>
          </w:p>
        </w:tc>
      </w:tr>
    </w:tbl>
    <w:p w14:paraId="6B12EBD7">
      <w:pPr>
        <w:pStyle w:val="10"/>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default" w:asciiTheme="minorEastAsia" w:hAnsiTheme="minorEastAsia" w:eastAsiaTheme="minorEastAsia" w:cstheme="minorEastAsia"/>
          <w:b w:val="0"/>
          <w:bCs w:val="0"/>
          <w:color w:val="auto"/>
          <w:sz w:val="24"/>
          <w:szCs w:val="24"/>
          <w:lang w:val="en-US" w:eastAsia="zh-CN"/>
        </w:rPr>
      </w:pPr>
    </w:p>
    <w:p w14:paraId="21ADA82F">
      <w:pPr>
        <w:pStyle w:val="10"/>
        <w:spacing w:line="360" w:lineRule="auto"/>
        <w:jc w:val="both"/>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四、其他事项</w:t>
      </w:r>
    </w:p>
    <w:p w14:paraId="4F724EC4">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1、除招标文件另有规定外，若出现有关法律、法规和规章有强制性规定但招标文件未列明的情形，则投标人应按照有关法律、法规和规章强制性规定执行。</w:t>
      </w:r>
    </w:p>
    <w:p w14:paraId="3B81B378">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2、其他：</w:t>
      </w:r>
    </w:p>
    <w:p w14:paraId="5B01C743">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2.1投标人应如实对技术要求进行应答，投标人提供的服务及系统运行正常。根据采购人项目建设管理有关规定，投标人需签订《廉政承诺书》，若未签订或发现投标人在投标文件中所列的各项技术指标有为谋取中标而弄虚作假欺骗采购人和评委的行为，将取消其中标资格，其投标保证金将不予退还。若在执行合同过程中给采购人造成损失的，采购人有权进行索赔并追究其相关责任。 注：参与本项目的所有投标人均须在投标文件技术商务部分提供《廉政承诺书》，格式详见附件，否则视为无效投标。 </w:t>
      </w:r>
    </w:p>
    <w:p w14:paraId="40E4792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2.2、本招标文件未明确的其它约定事项或条款，待采购人与中标人签订合同时，由双方协商订立。 </w:t>
      </w:r>
    </w:p>
    <w:p w14:paraId="410957D0">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2.3、本项目招标文件要求的投标材料，若属于可以通过互联网或者相关信息系统查询的信息，投标人可在投标文件中提供相应的互联网或者相关信息系统的查询网址或查询方式后，可不需要提供此类投标材料。投标人对所提供的查询网址或查询方式的有效性和真实性负责。 </w:t>
      </w:r>
    </w:p>
    <w:p w14:paraId="36DA32CE">
      <w:pPr>
        <w:pStyle w:val="10"/>
        <w:spacing w:line="360" w:lineRule="auto"/>
        <w:ind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2.4、投标人在投标文件中提供的相应材料应真实、准确，若材料不实的，属于提供虚假材料谋取中标，将依照《中华人民共和国政府采购法》等国家有关规定追究相应责任。 </w:t>
      </w:r>
    </w:p>
    <w:p w14:paraId="14D1ADC2">
      <w:pPr>
        <w:pStyle w:val="1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为本次招标项目提供整体设计、规范编制或者项目管理、监理、检测等服务的投标人，不得参加本次招标活动。投标人不得与本次招标项下设计、编制技术规格和其他文件的公司或提供咨询服务的公司包括其附属机构有任何关联。</w:t>
      </w:r>
    </w:p>
    <w:p w14:paraId="24FD0EFB">
      <w:pPr>
        <w:pStyle w:val="10"/>
        <w:spacing w:line="360" w:lineRule="auto"/>
        <w:jc w:val="center"/>
        <w:outlineLvl w:val="1"/>
        <w:rPr>
          <w:rFonts w:hint="eastAsia" w:asciiTheme="minorEastAsia" w:hAnsiTheme="minorEastAsia" w:eastAsiaTheme="minorEastAsia" w:cstheme="minorEastAsia"/>
          <w:b/>
          <w:color w:val="auto"/>
          <w:sz w:val="24"/>
          <w:szCs w:val="24"/>
        </w:rPr>
      </w:pPr>
    </w:p>
    <w:p w14:paraId="7239B3F5">
      <w:pPr>
        <w:pStyle w:val="10"/>
        <w:spacing w:line="360" w:lineRule="auto"/>
        <w:jc w:val="center"/>
        <w:outlineLvl w:val="1"/>
        <w:rPr>
          <w:rFonts w:hint="eastAsia" w:asciiTheme="minorEastAsia" w:hAnsiTheme="minorEastAsia" w:eastAsiaTheme="minorEastAsia" w:cstheme="minorEastAsia"/>
          <w:b/>
          <w:color w:val="auto"/>
          <w:sz w:val="24"/>
          <w:szCs w:val="24"/>
        </w:rPr>
      </w:pPr>
    </w:p>
    <w:p w14:paraId="0D85764E">
      <w:pPr>
        <w:pStyle w:val="10"/>
        <w:spacing w:line="360" w:lineRule="auto"/>
        <w:jc w:val="center"/>
        <w:outlineLvl w:val="1"/>
        <w:rPr>
          <w:rFonts w:hint="eastAsia" w:asciiTheme="minorEastAsia" w:hAnsiTheme="minorEastAsia" w:eastAsiaTheme="minorEastAsia" w:cstheme="minorEastAsia"/>
          <w:b/>
          <w:color w:val="auto"/>
          <w:sz w:val="24"/>
          <w:szCs w:val="24"/>
        </w:rPr>
      </w:pPr>
    </w:p>
    <w:p w14:paraId="1DD15A80">
      <w:pPr>
        <w:pStyle w:val="10"/>
        <w:spacing w:line="360" w:lineRule="auto"/>
        <w:jc w:val="center"/>
        <w:outlineLvl w:val="1"/>
        <w:rPr>
          <w:rFonts w:hint="eastAsia" w:asciiTheme="minorEastAsia" w:hAnsiTheme="minorEastAsia" w:eastAsiaTheme="minorEastAsia" w:cstheme="minorEastAsia"/>
          <w:b/>
          <w:color w:val="auto"/>
          <w:sz w:val="24"/>
          <w:szCs w:val="24"/>
        </w:rPr>
      </w:pPr>
    </w:p>
    <w:p w14:paraId="3771AC6D">
      <w:pPr>
        <w:pStyle w:val="10"/>
        <w:spacing w:line="360" w:lineRule="auto"/>
        <w:jc w:val="center"/>
        <w:outlineLvl w:val="1"/>
        <w:rPr>
          <w:rFonts w:hint="eastAsia" w:asciiTheme="minorEastAsia" w:hAnsiTheme="minorEastAsia" w:eastAsiaTheme="minorEastAsia" w:cstheme="minorEastAsia"/>
          <w:b/>
          <w:color w:val="auto"/>
          <w:sz w:val="24"/>
          <w:szCs w:val="24"/>
        </w:rPr>
      </w:pPr>
    </w:p>
    <w:p w14:paraId="6752CA8F">
      <w:pPr>
        <w:pStyle w:val="10"/>
        <w:spacing w:line="360" w:lineRule="auto"/>
        <w:jc w:val="center"/>
        <w:outlineLvl w:val="1"/>
        <w:rPr>
          <w:rFonts w:hint="eastAsia" w:asciiTheme="minorEastAsia" w:hAnsiTheme="minorEastAsia" w:eastAsiaTheme="minorEastAsia" w:cstheme="minorEastAsia"/>
          <w:b/>
          <w:color w:val="auto"/>
          <w:sz w:val="24"/>
          <w:szCs w:val="24"/>
        </w:rPr>
      </w:pPr>
    </w:p>
    <w:p w14:paraId="625424B3">
      <w:pPr>
        <w:pStyle w:val="10"/>
        <w:spacing w:line="360" w:lineRule="auto"/>
        <w:jc w:val="center"/>
        <w:outlineLvl w:val="1"/>
        <w:rPr>
          <w:rFonts w:hint="eastAsia" w:asciiTheme="minorEastAsia" w:hAnsiTheme="minorEastAsia" w:eastAsiaTheme="minorEastAsia" w:cstheme="minorEastAsia"/>
          <w:b/>
          <w:color w:val="auto"/>
          <w:sz w:val="24"/>
          <w:szCs w:val="24"/>
        </w:rPr>
      </w:pPr>
    </w:p>
    <w:p w14:paraId="0F955912">
      <w:pPr>
        <w:pStyle w:val="10"/>
        <w:spacing w:line="360" w:lineRule="auto"/>
        <w:jc w:val="center"/>
        <w:outlineLvl w:val="1"/>
        <w:rPr>
          <w:rFonts w:hint="eastAsia" w:asciiTheme="minorEastAsia" w:hAnsiTheme="minorEastAsia" w:eastAsiaTheme="minorEastAsia" w:cstheme="minorEastAsia"/>
          <w:b/>
          <w:color w:val="auto"/>
          <w:sz w:val="24"/>
          <w:szCs w:val="24"/>
        </w:rPr>
      </w:pPr>
    </w:p>
    <w:p w14:paraId="5F1FD0E2">
      <w:pPr>
        <w:pStyle w:val="10"/>
        <w:spacing w:line="360" w:lineRule="auto"/>
        <w:jc w:val="center"/>
        <w:outlineLvl w:val="1"/>
        <w:rPr>
          <w:rFonts w:hint="eastAsia" w:asciiTheme="minorEastAsia" w:hAnsiTheme="minorEastAsia" w:eastAsiaTheme="minorEastAsia" w:cstheme="minorEastAsia"/>
          <w:b/>
          <w:color w:val="auto"/>
          <w:sz w:val="24"/>
          <w:szCs w:val="24"/>
        </w:rPr>
      </w:pPr>
    </w:p>
    <w:p w14:paraId="3387F351">
      <w:pPr>
        <w:pStyle w:val="10"/>
        <w:spacing w:line="360" w:lineRule="auto"/>
        <w:jc w:val="center"/>
        <w:outlineLvl w:val="1"/>
        <w:rPr>
          <w:rFonts w:hint="eastAsia" w:asciiTheme="minorEastAsia" w:hAnsiTheme="minorEastAsia" w:eastAsiaTheme="minorEastAsia" w:cstheme="minorEastAsia"/>
          <w:b/>
          <w:color w:val="auto"/>
          <w:sz w:val="24"/>
          <w:szCs w:val="24"/>
        </w:rPr>
      </w:pPr>
    </w:p>
    <w:p w14:paraId="6D9912F0">
      <w:pPr>
        <w:pStyle w:val="10"/>
        <w:spacing w:line="360" w:lineRule="auto"/>
        <w:jc w:val="center"/>
        <w:outlineLvl w:val="1"/>
        <w:rPr>
          <w:rFonts w:hint="eastAsia" w:asciiTheme="minorEastAsia" w:hAnsiTheme="minorEastAsia" w:eastAsiaTheme="minorEastAsia" w:cstheme="minorEastAsia"/>
          <w:b/>
          <w:color w:val="auto"/>
          <w:sz w:val="24"/>
          <w:szCs w:val="24"/>
        </w:rPr>
      </w:pPr>
    </w:p>
    <w:p w14:paraId="68605FBC">
      <w:pPr>
        <w:pStyle w:val="10"/>
        <w:spacing w:line="360" w:lineRule="auto"/>
        <w:jc w:val="center"/>
        <w:outlineLvl w:val="1"/>
        <w:rPr>
          <w:rFonts w:hint="eastAsia" w:asciiTheme="minorEastAsia" w:hAnsiTheme="minorEastAsia" w:eastAsiaTheme="minorEastAsia" w:cstheme="minorEastAsia"/>
          <w:b/>
          <w:color w:val="auto"/>
          <w:sz w:val="24"/>
          <w:szCs w:val="24"/>
        </w:rPr>
      </w:pPr>
    </w:p>
    <w:p w14:paraId="56B8F05E">
      <w:pPr>
        <w:pStyle w:val="10"/>
        <w:spacing w:line="360" w:lineRule="auto"/>
        <w:jc w:val="center"/>
        <w:outlineLvl w:val="1"/>
        <w:rPr>
          <w:rFonts w:hint="eastAsia" w:asciiTheme="minorEastAsia" w:hAnsiTheme="minorEastAsia" w:eastAsiaTheme="minorEastAsia" w:cstheme="minorEastAsia"/>
          <w:b/>
          <w:color w:val="auto"/>
          <w:sz w:val="24"/>
          <w:szCs w:val="24"/>
        </w:rPr>
      </w:pPr>
    </w:p>
    <w:p w14:paraId="312C3A27">
      <w:pPr>
        <w:pStyle w:val="10"/>
        <w:spacing w:line="360" w:lineRule="auto"/>
        <w:jc w:val="center"/>
        <w:outlineLvl w:val="1"/>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第六章 政府采购合同</w:t>
      </w:r>
    </w:p>
    <w:p w14:paraId="05EAEDBD">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参考文本</w:t>
      </w:r>
    </w:p>
    <w:p w14:paraId="5CF3F74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合同编号：</w:t>
      </w:r>
    </w:p>
    <w:p w14:paraId="2DAC3015">
      <w:pPr>
        <w:pStyle w:val="10"/>
        <w:spacing w:line="360" w:lineRule="auto"/>
        <w:jc w:val="center"/>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福建省政府采购合同（服务类）</w:t>
      </w:r>
    </w:p>
    <w:p w14:paraId="2C36F001">
      <w:pPr>
        <w:pStyle w:val="10"/>
        <w:spacing w:line="360" w:lineRule="auto"/>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编制说明</w:t>
      </w:r>
      <w:r>
        <w:rPr>
          <w:rFonts w:hint="eastAsia" w:asciiTheme="minorEastAsia" w:hAnsiTheme="minorEastAsia" w:eastAsiaTheme="minorEastAsia" w:cstheme="minorEastAsia"/>
          <w:color w:val="auto"/>
          <w:sz w:val="24"/>
          <w:szCs w:val="24"/>
        </w:rPr>
        <w:br w:type="textWrapping"/>
      </w:r>
    </w:p>
    <w:p w14:paraId="124F9921">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1.签订合同应遵守《中华人民共和国政府采购法》及其实施条例、《中华人民共和国民法典》等法律法规及其他有关规定。</w:t>
      </w:r>
    </w:p>
    <w:p w14:paraId="54A46890">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41391AF3">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3.政府有关主管部门对若干合同有规范文本的，可使用相应合同文本。</w:t>
      </w:r>
    </w:p>
    <w:p w14:paraId="366552BF">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4.本合同范本仅供参考，采购人应当根据采购项目的实际需求对合同条款进行修改、补充。</w:t>
      </w:r>
    </w:p>
    <w:p w14:paraId="304239A3">
      <w:pPr>
        <w:pStyle w:val="10"/>
        <w:spacing w:line="360" w:lineRule="auto"/>
        <w:ind w:lef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w:t>
      </w:r>
    </w:p>
    <w:p w14:paraId="48B6EF7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住所地：________________</w:t>
      </w:r>
    </w:p>
    <w:p w14:paraId="3E78FF0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联系人：________________</w:t>
      </w:r>
    </w:p>
    <w:p w14:paraId="0A937E1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联系电话：______________</w:t>
      </w:r>
    </w:p>
    <w:p w14:paraId="60338CE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传真：________________</w:t>
      </w:r>
    </w:p>
    <w:p w14:paraId="3AEA1F5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电子邮箱：________________</w:t>
      </w:r>
      <w:r>
        <w:rPr>
          <w:rFonts w:hint="eastAsia" w:asciiTheme="minorEastAsia" w:hAnsiTheme="minorEastAsia" w:eastAsiaTheme="minorEastAsia" w:cstheme="minorEastAsia"/>
          <w:color w:val="auto"/>
          <w:sz w:val="24"/>
          <w:szCs w:val="24"/>
        </w:rPr>
        <w:br w:type="textWrapping"/>
      </w:r>
    </w:p>
    <w:p w14:paraId="2885D219">
      <w:pPr>
        <w:pStyle w:val="10"/>
        <w:spacing w:line="360" w:lineRule="auto"/>
        <w:ind w:left="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乙方： ________________</w:t>
      </w:r>
    </w:p>
    <w:p w14:paraId="428C1FA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住所地： ________________</w:t>
      </w:r>
    </w:p>
    <w:p w14:paraId="03A1005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联系人：______________</w:t>
      </w:r>
    </w:p>
    <w:p w14:paraId="496FE37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联系电话：______________</w:t>
      </w:r>
    </w:p>
    <w:p w14:paraId="3A9DCD4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传真：________________</w:t>
      </w:r>
    </w:p>
    <w:p w14:paraId="182D1EB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电子邮箱：________________</w:t>
      </w:r>
    </w:p>
    <w:p w14:paraId="0EF127D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根据项目编号为___________ 的 __________项目（以下简称：“本项目”）的采购结果，遵循平等、自愿、公平和诚实信用的原则，双方签署本合同，具体内容如下：</w:t>
      </w:r>
    </w:p>
    <w:p w14:paraId="6326A801">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一、合同组成部分</w:t>
      </w:r>
    </w:p>
    <w:p w14:paraId="2BEDF26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1.1本合同条款及附件；</w:t>
      </w:r>
    </w:p>
    <w:p w14:paraId="20B73C7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1.2采购文件及其附件、补充文件；</w:t>
      </w:r>
    </w:p>
    <w:p w14:paraId="140800D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1.3乙方的响应文件及其附件、补充文件；</w:t>
      </w:r>
    </w:p>
    <w:p w14:paraId="6C8F6A3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1.4其他文件或材料：</w:t>
      </w:r>
    </w:p>
    <w:p w14:paraId="5239D461">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二、合同标的</w:t>
      </w:r>
      <w:r>
        <w:rPr>
          <w:rFonts w:hint="eastAsia" w:asciiTheme="minorEastAsia" w:hAnsiTheme="minorEastAsia" w:eastAsiaTheme="minorEastAsia" w:cstheme="minorEastAsia"/>
          <w:color w:val="auto"/>
          <w:sz w:val="24"/>
          <w:szCs w:val="24"/>
        </w:rPr>
        <w:br w:type="textWrapping"/>
      </w:r>
    </w:p>
    <w:p w14:paraId="196139AA">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三、价格形式及合同价款</w:t>
      </w:r>
    </w:p>
    <w:p w14:paraId="5F72C024">
      <w:pPr>
        <w:pStyle w:val="10"/>
        <w:spacing w:line="360" w:lineRule="auto"/>
        <w:jc w:val="left"/>
        <w:outlineLvl w:val="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3.1价格形式</w:t>
      </w:r>
    </w:p>
    <w:p w14:paraId="762592F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固定单价合同。完成约定服务事项的含税合同单价为：人民币（大写）元（￥ _____________元）。</w:t>
      </w:r>
    </w:p>
    <w:p w14:paraId="0D1204C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固定总价合同。完成约定服务事项的含税服务费用为：人民币（大写）元（￥_____________ 元）。</w:t>
      </w:r>
    </w:p>
    <w:p w14:paraId="7C17483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其他方式。</w:t>
      </w:r>
    </w:p>
    <w:p w14:paraId="782CD837">
      <w:pPr>
        <w:pStyle w:val="10"/>
        <w:spacing w:line="360" w:lineRule="auto"/>
        <w:jc w:val="left"/>
        <w:outlineLvl w:val="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3.2合同价款包含范围</w:t>
      </w:r>
    </w:p>
    <w:p w14:paraId="368BE04C">
      <w:pPr>
        <w:pStyle w:val="10"/>
        <w:spacing w:line="360" w:lineRule="auto"/>
        <w:jc w:val="left"/>
        <w:outlineLvl w:val="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3.3其他需说明的事项：</w:t>
      </w:r>
    </w:p>
    <w:p w14:paraId="7BDA3879">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四、合同标的及服务范围、地点和时间</w:t>
      </w:r>
    </w:p>
    <w:p w14:paraId="680AA85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4.1项目名称： _____________</w:t>
      </w:r>
    </w:p>
    <w:p w14:paraId="467DE28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4.2服务范围：_____________</w:t>
      </w:r>
    </w:p>
    <w:p w14:paraId="10BD7F1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4.3服务地点：_____________</w:t>
      </w:r>
    </w:p>
    <w:p w14:paraId="3B2D39E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4.4服务完成时间：_____________</w:t>
      </w:r>
    </w:p>
    <w:p w14:paraId="13EC2EE9">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五、服务内容、质量标准和要求</w:t>
      </w:r>
    </w:p>
    <w:p w14:paraId="670E86B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5.1服务工作量的计量方式：_____________</w:t>
      </w:r>
    </w:p>
    <w:p w14:paraId="051CD54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5.2服务内容：_____________</w:t>
      </w:r>
    </w:p>
    <w:p w14:paraId="69CA933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5.3技术保障、服务人员组成、所涉及的货物的质量标准：</w:t>
      </w:r>
    </w:p>
    <w:p w14:paraId="22A19EE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（1）服务技术保障：_____________</w:t>
      </w:r>
    </w:p>
    <w:p w14:paraId="055A560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（2）服务人员组成：_____________</w:t>
      </w:r>
    </w:p>
    <w:p w14:paraId="015662F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（3）服务设备及物资投入及质量标准：_____________</w:t>
      </w:r>
    </w:p>
    <w:p w14:paraId="2356D5B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5.4服务质量标准及要求：</w:t>
      </w:r>
    </w:p>
    <w:p w14:paraId="577C5A9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3EC0FF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5C019B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5.4.3其他要求：</w:t>
      </w:r>
    </w:p>
    <w:p w14:paraId="0DD647A9">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六、服务履约验收或考核</w:t>
      </w:r>
    </w:p>
    <w:p w14:paraId="0177A6B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0C10DC6F">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七、甲方的权利与义务</w:t>
      </w:r>
    </w:p>
    <w:p w14:paraId="591BAC6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7.1甲方委派___________为联系人，联系方式 ___________，负责与乙方联系。如甲方联系人发生变更，甲方应书面告知乙方。</w:t>
      </w:r>
    </w:p>
    <w:p w14:paraId="169EFF0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7.2甲方应为乙方开展服务工作提供必要的工作条件，以及对内对外沟通和配合协助。</w:t>
      </w:r>
    </w:p>
    <w:p w14:paraId="4E7817F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7.3甲方应于___________之前提供服务所需的全部资料，并对所提供材料真实性、完整性、合法性负责。</w:t>
      </w:r>
    </w:p>
    <w:p w14:paraId="248AA77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15636A8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7.5甲方应按本合同约定及时足额支付服务费用及相关费用。</w:t>
      </w:r>
    </w:p>
    <w:p w14:paraId="6D6F0B0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7.6其他</w:t>
      </w:r>
    </w:p>
    <w:p w14:paraId="65D954E3">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八、乙方的权利与义务</w:t>
      </w:r>
    </w:p>
    <w:p w14:paraId="03F4D1F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8.1乙方委派___________为联系人，联系方式 ___________，负责与甲方联系。如乙方联系人发生变更，乙方应书面告知甲方</w:t>
      </w:r>
    </w:p>
    <w:p w14:paraId="32AC3DB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8.2乙方应国家法律法规和{{乙方的权利与义务-响应要求-福建}}等要求开展{{乙方的权利与义务-开展服务-福建}}服务；</w:t>
      </w:r>
    </w:p>
    <w:p w14:paraId="0489D08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8.3乙方及其所委派服务人员应按标准或协议约定方式出具服务成果，并对其真实性和合法性负法律责任；</w:t>
      </w:r>
    </w:p>
    <w:p w14:paraId="57EA175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5503AFE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8.5乙方对服务业务应当单独建档，保存完整的工作记录，并对服务过程使用和暂存甲方的文件、材料和财物应当妥善保管。</w:t>
      </w:r>
    </w:p>
    <w:p w14:paraId="18868A5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8.6服务工作结束后,乙方将根据情况对甲方服务相关的管理制度及其他事项等提出改进意见。</w:t>
      </w:r>
    </w:p>
    <w:p w14:paraId="5556E44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8.7乙方完全遵守《中华人民共和国劳动合同法》有关规定和《中华人民共和国妇女权益保障法》中关于“劳动和社会保障权益”的有关要求。</w:t>
      </w:r>
    </w:p>
    <w:p w14:paraId="64E7FB9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8.8其他</w:t>
      </w:r>
    </w:p>
    <w:p w14:paraId="10FC5AAF">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九、资金支付方式、时间和条件</w:t>
      </w:r>
      <w:r>
        <w:rPr>
          <w:rFonts w:hint="eastAsia" w:asciiTheme="minorEastAsia" w:hAnsiTheme="minorEastAsia" w:eastAsiaTheme="minorEastAsia" w:cstheme="minorEastAsia"/>
          <w:color w:val="auto"/>
          <w:sz w:val="24"/>
          <w:szCs w:val="24"/>
        </w:rPr>
        <w:br w:type="textWrapping"/>
      </w:r>
    </w:p>
    <w:p w14:paraId="7D80F175">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十、履约保证金</w:t>
      </w:r>
    </w:p>
    <w:p w14:paraId="36363C0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□有，□无。具体如下：（按照采购文件规定填写）。</w:t>
      </w:r>
    </w:p>
    <w:p w14:paraId="0D2FF67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10.1乙方向甲方缴纳人民币 / 元作为本合同的履约保证金。</w:t>
      </w:r>
    </w:p>
    <w:p w14:paraId="1750599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10.2履约保证金缴纳形式：支票/汇票/电汇/保函等非现金形式。</w:t>
      </w:r>
    </w:p>
    <w:p w14:paraId="08DEAA3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10.3履约保证金合同履行完毕前有效，合同履行完毕后一次性结清退还。</w:t>
      </w:r>
    </w:p>
    <w:p w14:paraId="7C8BB8BD">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十一、合同期限</w:t>
      </w:r>
      <w:r>
        <w:rPr>
          <w:rFonts w:hint="eastAsia" w:asciiTheme="minorEastAsia" w:hAnsiTheme="minorEastAsia" w:eastAsiaTheme="minorEastAsia" w:cstheme="minorEastAsia"/>
          <w:color w:val="auto"/>
          <w:sz w:val="24"/>
          <w:szCs w:val="24"/>
        </w:rPr>
        <w:br w:type="textWrapping"/>
      </w:r>
    </w:p>
    <w:p w14:paraId="655EC12C">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十二、保密条款</w:t>
      </w:r>
    </w:p>
    <w:p w14:paraId="682B0D2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12.1对于在采购和合同履行过程中所获悉的属于保密的内容，甲、乙双方均负有保密义务。</w:t>
      </w:r>
    </w:p>
    <w:p w14:paraId="13DCEC0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12.2其他</w:t>
      </w:r>
    </w:p>
    <w:p w14:paraId="38F5E370">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十三、违约责任</w:t>
      </w:r>
    </w:p>
    <w:p w14:paraId="7303696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13.1甲方违约责任</w:t>
      </w:r>
    </w:p>
    <w:p w14:paraId="0546C21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（1）甲方无正当理由拒绝乙方提供合格服务的，甲方应向乙方偿付所拒收合同总价________的违约金</w:t>
      </w:r>
    </w:p>
    <w:p w14:paraId="1FCF55B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（2）甲方无故逾期验收和办理合同款项支付手续的,甲方应按逾期付款总额每日________向乙方支付违约金。</w:t>
      </w:r>
    </w:p>
    <w:p w14:paraId="2E6FEAE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（3）其他违约情形</w:t>
      </w:r>
    </w:p>
    <w:p w14:paraId="30DB796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13.2乙方违约责任</w:t>
      </w:r>
    </w:p>
    <w:p w14:paraId="23C1D79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001FC7B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（2）乙方所履行的服务不符合合同规定及《采购文件》规定标准的，甲方有权拒绝，乙方愿意整改但逾期履行的，按乙方逾期履行处理。乙方拒绝整改的，视为“乙方不按合同约定履约”</w:t>
      </w:r>
    </w:p>
    <w:p w14:paraId="179BA4B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（3）乙方不按合同约定履约的，甲方可以解除采购合同，并对乙方已缴纳的履约保证金作“不予退还”处理。同时，乙方须按以下约定向甲方支付违约金：</w:t>
      </w:r>
    </w:p>
    <w:p w14:paraId="4FBE7E5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（4）其他违约情形</w:t>
      </w:r>
    </w:p>
    <w:p w14:paraId="707B7992">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十四、不可抗力事件处理</w:t>
      </w:r>
    </w:p>
    <w:p w14:paraId="15E66CE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546B485">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十五、解决争议的方法</w:t>
      </w:r>
    </w:p>
    <w:p w14:paraId="5179518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15.1甲、乙双方协商解决。</w:t>
      </w:r>
    </w:p>
    <w:p w14:paraId="1009C09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15.2若协商解决不成，双方明确按以下第_种方式解决：</w:t>
      </w:r>
    </w:p>
    <w:p w14:paraId="47F5F03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1、提交仲裁委员会仲裁，具体如下：</w:t>
      </w:r>
    </w:p>
    <w:p w14:paraId="71DA3F7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2、向______人民法院提起诉讼。</w:t>
      </w:r>
    </w:p>
    <w:p w14:paraId="5AC7DE47">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十六、合同其他条款</w:t>
      </w:r>
      <w:r>
        <w:rPr>
          <w:rFonts w:hint="eastAsia" w:asciiTheme="minorEastAsia" w:hAnsiTheme="minorEastAsia" w:eastAsiaTheme="minorEastAsia" w:cstheme="minorEastAsia"/>
          <w:color w:val="auto"/>
          <w:sz w:val="24"/>
          <w:szCs w:val="24"/>
        </w:rPr>
        <w:br w:type="textWrapping"/>
      </w:r>
    </w:p>
    <w:p w14:paraId="696B4CE2">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十七、其他约定</w:t>
      </w:r>
    </w:p>
    <w:p w14:paraId="0CCD3EA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17.1合同文件与本合同具有同等法律效力。</w:t>
      </w:r>
    </w:p>
    <w:p w14:paraId="19FACC2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13965E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17.3本合同未尽事宜，遵照《中华人民共和国民法典》有关条文执行。</w:t>
      </w:r>
    </w:p>
    <w:p w14:paraId="29BAA78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17.4本合同正本一式_______份，具有同等法律效力，甲方、乙方各执_______份；副本_______份，_______</w:t>
      </w:r>
    </w:p>
    <w:p w14:paraId="3A99086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17.5其他</w:t>
      </w:r>
    </w:p>
    <w:p w14:paraId="7960D5AF">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十八、合同附件</w:t>
      </w:r>
    </w:p>
    <w:p w14:paraId="6993A160">
      <w:pPr>
        <w:pStyle w:val="10"/>
        <w:spacing w:line="360" w:lineRule="auto"/>
        <w:jc w:val="left"/>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十九、合同融资支付约定</w:t>
      </w:r>
    </w:p>
    <w:p w14:paraId="2216D57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19.1本合同已用于政府采购合同融资，为本项目提供合同融资的金融机构为：_______，本合同项下所有款项，甲方须支付至本合同约定的乙方账号，未经_______书面同意，不得变更账号。</w:t>
      </w:r>
    </w:p>
    <w:p w14:paraId="113BC00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中标（成交）供应商应于采购合同签订之日起_______内，向发放政采贷的金融机构提交政府采购中标（成交）通知书和政府采购合同，贷款金额以政府采购合同金额为限。</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p>
    <w:p w14:paraId="4E58F1D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甲方（采购人）：</w:t>
      </w:r>
    </w:p>
    <w:p w14:paraId="1C84644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法定（授权）代表人：</w:t>
      </w:r>
    </w:p>
    <w:p w14:paraId="05E4A38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纳税人识别号：</w:t>
      </w:r>
    </w:p>
    <w:p w14:paraId="3BC148A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开户银行：</w:t>
      </w:r>
    </w:p>
    <w:p w14:paraId="3DCA93F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账号：</w:t>
      </w:r>
    </w:p>
    <w:p w14:paraId="46FD9FD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乙方（中标或成交人）：</w:t>
      </w:r>
    </w:p>
    <w:p w14:paraId="0230E51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法定（授权）代表人：</w:t>
      </w:r>
    </w:p>
    <w:p w14:paraId="6D7C679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纳税人识别号：</w:t>
      </w:r>
    </w:p>
    <w:p w14:paraId="799115F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开户银行：</w:t>
      </w:r>
    </w:p>
    <w:p w14:paraId="29B2ACA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账号：</w:t>
      </w:r>
    </w:p>
    <w:p w14:paraId="5699C38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签订地点：_____________</w:t>
      </w:r>
    </w:p>
    <w:p w14:paraId="5DBD2E8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签订日期：____年___月___日</w:t>
      </w:r>
    </w:p>
    <w:p w14:paraId="32FDB48D">
      <w:pPr>
        <w:pStyle w:val="1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129523CC">
      <w:pPr>
        <w:pStyle w:val="10"/>
        <w:spacing w:line="360" w:lineRule="auto"/>
        <w:jc w:val="center"/>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第七章 电子投标文件格式</w:t>
      </w:r>
    </w:p>
    <w:p w14:paraId="148D0669">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编制说明</w:t>
      </w:r>
    </w:p>
    <w:p w14:paraId="3B1EA8C6">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1、除招标文件另有规定外，本章中：</w:t>
      </w:r>
    </w:p>
    <w:p w14:paraId="73CE677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1.1涉及投标人的“全称”：</w:t>
      </w:r>
    </w:p>
    <w:p w14:paraId="66231A7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（1）不接受联合体投标的，指投标人的全称。</w:t>
      </w:r>
    </w:p>
    <w:p w14:paraId="3B69944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（2）接受联合体投标且投标人为联合体的，指牵头方的全称并加注（联合体牵头方），即应表述为：“牵头方的全称（联合体牵头方）”。</w:t>
      </w:r>
    </w:p>
    <w:p w14:paraId="5B8C6E7E">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1.2涉及投标人“加盖单位公章”：</w:t>
      </w:r>
    </w:p>
    <w:p w14:paraId="09279C7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（1）不接受联合体投标的，指加盖投标人的单位公章。</w:t>
      </w:r>
    </w:p>
    <w:p w14:paraId="25847015">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（2）接受联合体投标且投标人为联合体的，指加盖联合体牵头方的单位公章。</w:t>
      </w:r>
    </w:p>
    <w:p w14:paraId="2DE05C8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1.3涉及“投标人代表签字”：</w:t>
      </w:r>
    </w:p>
    <w:p w14:paraId="27B0BE68">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（1）不接受联合体投标的，指由投标人的单位负责人或其授权的委托代理人签字，由委托代理人签字的，应提供“单位授权书”。</w:t>
      </w:r>
    </w:p>
    <w:p w14:paraId="0B652D55">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（2）接受联合体投标且投标人为联合体的，指由联合体牵头方的单位负责人或其授权的委托代理人签字，由委托代理人签字的，应提供“单位授权书”。</w:t>
      </w:r>
    </w:p>
    <w:p w14:paraId="3154BED0">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1.4“其他组织”指合伙企业、非企业专业服务机构、个体工商户、农村承包经营户等。</w:t>
      </w:r>
    </w:p>
    <w:p w14:paraId="58CF398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1.5“自然人”指具有完全民事行为能力、能够承担民事责任和义务的中国公民。</w:t>
      </w:r>
    </w:p>
    <w:p w14:paraId="76F4651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2、除招标文件另有规定外，本章中“投标人的资格及资信证明文件”：</w:t>
      </w:r>
    </w:p>
    <w:p w14:paraId="2591F9C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2.1投标人应按照招标文件第四章第1.3条第（2）款规定及本章规定进行编制，如有必要，可增加附页，附页作为资格及资信文件的组成部分。</w:t>
      </w:r>
    </w:p>
    <w:p w14:paraId="6CE1113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2.2接受联合体投标且投标人为联合体的，联合体中的各方均应按照本章第2.1条规定提交相应的全部资料。</w:t>
      </w:r>
    </w:p>
    <w:p w14:paraId="6E963AEF">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3、投标人对电子投标文件的索引应编制页码。</w:t>
      </w:r>
    </w:p>
    <w:p w14:paraId="09CE0400">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4、本章提供格式仅供参考，投标人应根据自身实际情况制作电子投标文件。</w:t>
      </w:r>
    </w:p>
    <w:p w14:paraId="273F502D">
      <w:pPr>
        <w:pStyle w:val="1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582D4B42">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封面格式(资格及资信证明部分)</w:t>
      </w:r>
    </w:p>
    <w:p w14:paraId="6A346E9E">
      <w:pPr>
        <w:pStyle w:val="10"/>
        <w:spacing w:line="360" w:lineRule="auto"/>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福建省政府采购投标文件</w:t>
      </w:r>
    </w:p>
    <w:p w14:paraId="139B8CCE">
      <w:pPr>
        <w:pStyle w:val="10"/>
        <w:spacing w:line="360" w:lineRule="auto"/>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（资格及资信证明部分）</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p>
    <w:p w14:paraId="6717D1A9">
      <w:pPr>
        <w:pStyle w:val="10"/>
        <w:spacing w:line="360" w:lineRule="auto"/>
        <w:jc w:val="center"/>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（填写正本或副本）</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p>
    <w:p w14:paraId="425C1100">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项目名称：（由投标人填写）</w:t>
      </w:r>
    </w:p>
    <w:p w14:paraId="67779082">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备案编号：（由投标人填写）</w:t>
      </w:r>
    </w:p>
    <w:p w14:paraId="48FA448B">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项目编号：（由投标人填写）</w:t>
      </w:r>
    </w:p>
    <w:p w14:paraId="23AA3B60">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所投采购包：（由投标人填写）</w:t>
      </w:r>
    </w:p>
    <w:p w14:paraId="356D677F">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投标人：（填写“全称”）</w:t>
      </w:r>
    </w:p>
    <w:p w14:paraId="011950C1">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（由投标人填写）年（由投标人填写）月</w:t>
      </w:r>
    </w:p>
    <w:p w14:paraId="61CC2717">
      <w:pPr>
        <w:pStyle w:val="1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696CBA8A">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索引</w:t>
      </w:r>
    </w:p>
    <w:p w14:paraId="3C687775">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一、投标函</w:t>
      </w:r>
    </w:p>
    <w:p w14:paraId="11EC2A4E">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二、投标人的资格及资信证明文件</w:t>
      </w:r>
    </w:p>
    <w:p w14:paraId="43121FA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三、投标保证金</w:t>
      </w:r>
    </w:p>
    <w:p w14:paraId="4EA468BF">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68FE605E">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资格及资信证明部分中不得出现报价部分的全部或部分的投标报价信息（或组成资料），否则资格审查不合格。（联合体协议及分包意向协议中的比例规定，不适用本条款）</w:t>
      </w:r>
    </w:p>
    <w:p w14:paraId="119E6910">
      <w:pPr>
        <w:pStyle w:val="1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2FE257C0">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一、投标函</w:t>
      </w:r>
    </w:p>
    <w:p w14:paraId="288803CB">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（采购人或采购代理机构）</w:t>
      </w:r>
    </w:p>
    <w:p w14:paraId="3271C91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兹收到贵单位关于</w:t>
      </w:r>
      <w:r>
        <w:rPr>
          <w:rFonts w:hint="eastAsia" w:asciiTheme="minorEastAsia" w:hAnsiTheme="minorEastAsia" w:eastAsiaTheme="minorEastAsia" w:cstheme="minorEastAsia"/>
          <w:color w:val="auto"/>
          <w:sz w:val="24"/>
          <w:szCs w:val="24"/>
          <w:u w:val="single"/>
        </w:rPr>
        <w:t xml:space="preserve">（填写“项目名称”） </w:t>
      </w:r>
      <w:r>
        <w:rPr>
          <w:rFonts w:hint="eastAsia" w:asciiTheme="minorEastAsia" w:hAnsiTheme="minorEastAsia" w:eastAsiaTheme="minorEastAsia" w:cstheme="minorEastAsia"/>
          <w:color w:val="auto"/>
          <w:sz w:val="24"/>
          <w:szCs w:val="24"/>
        </w:rPr>
        <w:t>项目</w:t>
      </w:r>
      <w:r>
        <w:rPr>
          <w:rFonts w:hint="eastAsia" w:asciiTheme="minorEastAsia" w:hAnsiTheme="minorEastAsia" w:eastAsiaTheme="minorEastAsia" w:cstheme="minorEastAsia"/>
          <w:color w:val="auto"/>
          <w:sz w:val="24"/>
          <w:szCs w:val="24"/>
          <w:u w:val="single"/>
        </w:rPr>
        <w:t xml:space="preserve">（项目编号：　　　　　） </w:t>
      </w:r>
      <w:r>
        <w:rPr>
          <w:rFonts w:hint="eastAsia" w:asciiTheme="minorEastAsia" w:hAnsiTheme="minorEastAsia" w:eastAsiaTheme="minorEastAsia" w:cstheme="minorEastAsia"/>
          <w:color w:val="auto"/>
          <w:sz w:val="24"/>
          <w:szCs w:val="24"/>
        </w:rPr>
        <w:t>的投标邀请，本投标人代表</w:t>
      </w:r>
      <w:r>
        <w:rPr>
          <w:rFonts w:hint="eastAsia" w:asciiTheme="minorEastAsia" w:hAnsiTheme="minorEastAsia" w:eastAsiaTheme="minorEastAsia" w:cstheme="minorEastAsia"/>
          <w:color w:val="auto"/>
          <w:sz w:val="24"/>
          <w:szCs w:val="24"/>
          <w:u w:val="single"/>
        </w:rPr>
        <w:t xml:space="preserve">（填写“全名”） </w:t>
      </w:r>
      <w:r>
        <w:rPr>
          <w:rFonts w:hint="eastAsia" w:asciiTheme="minorEastAsia" w:hAnsiTheme="minorEastAsia" w:eastAsiaTheme="minorEastAsia" w:cstheme="minorEastAsia"/>
          <w:color w:val="auto"/>
          <w:sz w:val="24"/>
          <w:szCs w:val="24"/>
        </w:rPr>
        <w:t>已获得我方正式授权并代表投标人（填写“全称”）参加投标，并提交电子投标文件。我方提交的全部电子投标文件由下述部分组成：</w:t>
      </w:r>
    </w:p>
    <w:p w14:paraId="2A2CAD15">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（1）资格及资信证明部分</w:t>
      </w:r>
    </w:p>
    <w:p w14:paraId="275A0739">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①投标函</w:t>
      </w:r>
    </w:p>
    <w:p w14:paraId="00C6C5D6">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②投标人的资格及资信证明文件</w:t>
      </w:r>
    </w:p>
    <w:p w14:paraId="7BEDE9D5">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③投标保证金</w:t>
      </w:r>
    </w:p>
    <w:p w14:paraId="620AC46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（2）报价部分</w:t>
      </w:r>
    </w:p>
    <w:p w14:paraId="5C890E85">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①开标一览表</w:t>
      </w:r>
    </w:p>
    <w:p w14:paraId="66B431D9">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②投标分项报价表</w:t>
      </w:r>
    </w:p>
    <w:p w14:paraId="46B5A3B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③招标文件规定的价格扣除证明材料（若有）</w:t>
      </w:r>
    </w:p>
    <w:p w14:paraId="78264DDE">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④招标文件规定的加分证明材料（若有）</w:t>
      </w:r>
    </w:p>
    <w:p w14:paraId="5A4108EF">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（3）技术商务部分</w:t>
      </w:r>
    </w:p>
    <w:p w14:paraId="45E4510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①标的说明一览表</w:t>
      </w:r>
    </w:p>
    <w:p w14:paraId="0C17F639">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②技术和服务要求响应表</w:t>
      </w:r>
    </w:p>
    <w:p w14:paraId="717C9C68">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③商务条件响应表</w:t>
      </w:r>
    </w:p>
    <w:p w14:paraId="2074C0B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④投标人提交的其他资料（若有）</w:t>
      </w:r>
    </w:p>
    <w:p w14:paraId="27D7ECB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根据本函，本投标人代表宣布我方保证遵守招标文件的全部规定，同时：</w:t>
      </w:r>
    </w:p>
    <w:p w14:paraId="662ED88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1、确认：</w:t>
      </w:r>
    </w:p>
    <w:p w14:paraId="0AAF4449">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1.1所投采购包的投标报价详见“开标一览表”及“投标分项报价表”。</w:t>
      </w:r>
    </w:p>
    <w:p w14:paraId="324C3DB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1.2我方已详细审查全部招标文件[包括但不限于：有关附件（若有）、澄清或修改（若有）等]，并自行承担因对全部招标文件理解不正确或误解而产生的相应后果和责任。</w:t>
      </w:r>
    </w:p>
    <w:p w14:paraId="52B9146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2、承诺及声明：</w:t>
      </w:r>
    </w:p>
    <w:p w14:paraId="4F6918A3">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2.1我方具备招标文件第一章载明的“投标人的资格要求”且符合招标文件第三章载明的“二、投标人”之规定，否则投标无效。</w:t>
      </w:r>
    </w:p>
    <w:p w14:paraId="7D459EC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2.2我方提交的电子投标文件各组成部分的全部内容及资料是不可割离且真实、有效、准确、完整和不具有任何误导性的，否则产生不利后果由我方承担责任。</w:t>
      </w:r>
    </w:p>
    <w:p w14:paraId="35572C25">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2.3我方提供的标的价格不高于同期市场价格，否则产生不利后果由我方承担责任。</w:t>
      </w:r>
    </w:p>
    <w:p w14:paraId="10F1EF2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2.4投标保证金：若出现招标文件第三章规定的不予退还情形，同意贵单位不予退还。</w:t>
      </w:r>
    </w:p>
    <w:p w14:paraId="23B96F1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2.5投标有效期：按照招标文件第三章规定执行，并在招标文件第二章载明的期限内保持有效。</w:t>
      </w:r>
    </w:p>
    <w:p w14:paraId="7EF0D98F">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2.6若中标，将按照招标文件、我方电子投标文件及政府采购合同履行责任和义务。</w:t>
      </w:r>
    </w:p>
    <w:p w14:paraId="086EDFE0">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2.7若贵单位要求，我方同意提供与本项目投标有关的一切资料、数据或文件，并完全理解贵单位不一定要接受最低的投标报价或收到的任何投标。</w:t>
      </w:r>
    </w:p>
    <w:p w14:paraId="7E623EB1">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2.8 我方承诺遵守《中华人民共和国劳动合同法》有关规定和《中华人民共和国妇女权益保障法 》中关于“劳动和社会保障权益”的有关要求。</w:t>
      </w:r>
    </w:p>
    <w:p w14:paraId="66A40CBF">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2.9我方承诺电子投标文件所提供的全部资料真实可靠，并接受评标委员会、采购人、采购代理机构、监管部门进一步审查其中任何资料真实性的要求。</w:t>
      </w:r>
    </w:p>
    <w:p w14:paraId="0E76853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2.10除招标文件另有规定外，对于贵单位按照下述联络方式发出的任何信息或通知，均视为我方已收悉前述信息或通知的全部内容：</w:t>
      </w:r>
    </w:p>
    <w:p w14:paraId="47857BC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通信地址：                                        </w:t>
      </w:r>
    </w:p>
    <w:p w14:paraId="484E365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邮编：                                           </w:t>
      </w:r>
    </w:p>
    <w:p w14:paraId="367C5B8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联系方法：（包括但不限于：联系人、联系电话、手机、传真、电子邮箱等）</w:t>
      </w:r>
    </w:p>
    <w:p w14:paraId="638AA3E3">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投标人：（全称并加盖单位公章）</w:t>
      </w:r>
    </w:p>
    <w:p w14:paraId="55D84C6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    年   月   日</w:t>
      </w:r>
    </w:p>
    <w:p w14:paraId="4905D4E6">
      <w:pPr>
        <w:pStyle w:val="1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6837D314">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二、投标人的资格及资信证明文件</w:t>
      </w:r>
    </w:p>
    <w:p w14:paraId="04DAFCC1">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二-1单位授权书（若有）</w:t>
      </w:r>
    </w:p>
    <w:p w14:paraId="70D84ED3">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（采购人或采购代理机构）</w:t>
      </w:r>
    </w:p>
    <w:p w14:paraId="54D0EF03">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我方的单位负责人</w:t>
      </w:r>
      <w:r>
        <w:rPr>
          <w:rFonts w:hint="eastAsia" w:asciiTheme="minorEastAsia" w:hAnsiTheme="minorEastAsia" w:eastAsiaTheme="minorEastAsia" w:cstheme="minorEastAsia"/>
          <w:color w:val="auto"/>
          <w:sz w:val="24"/>
          <w:szCs w:val="24"/>
          <w:u w:val="single"/>
        </w:rPr>
        <w:t>（填写“单位负责人全名”）</w:t>
      </w:r>
      <w:r>
        <w:rPr>
          <w:rFonts w:hint="eastAsia" w:asciiTheme="minorEastAsia" w:hAnsiTheme="minorEastAsia" w:eastAsiaTheme="minorEastAsia" w:cstheme="minorEastAsia"/>
          <w:color w:val="auto"/>
          <w:sz w:val="24"/>
          <w:szCs w:val="24"/>
        </w:rPr>
        <w:t>授权</w:t>
      </w:r>
      <w:r>
        <w:rPr>
          <w:rFonts w:hint="eastAsia" w:asciiTheme="minorEastAsia" w:hAnsiTheme="minorEastAsia" w:eastAsiaTheme="minorEastAsia" w:cstheme="minorEastAsia"/>
          <w:color w:val="auto"/>
          <w:sz w:val="24"/>
          <w:szCs w:val="24"/>
          <w:u w:val="single"/>
        </w:rPr>
        <w:t>（填写“投标人代表全名”）</w:t>
      </w:r>
      <w:r>
        <w:rPr>
          <w:rFonts w:hint="eastAsia" w:asciiTheme="minorEastAsia" w:hAnsiTheme="minorEastAsia" w:eastAsiaTheme="minorEastAsia" w:cstheme="minorEastAsia"/>
          <w:color w:val="auto"/>
          <w:sz w:val="24"/>
          <w:szCs w:val="24"/>
        </w:rPr>
        <w:t>为投标人代表，代表我方参加</w:t>
      </w:r>
      <w:r>
        <w:rPr>
          <w:rFonts w:hint="eastAsia" w:asciiTheme="minorEastAsia" w:hAnsiTheme="minorEastAsia" w:eastAsiaTheme="minorEastAsia" w:cstheme="minorEastAsia"/>
          <w:color w:val="auto"/>
          <w:sz w:val="24"/>
          <w:szCs w:val="24"/>
          <w:u w:val="single"/>
        </w:rPr>
        <w:t>（填写“项目名称”）</w:t>
      </w:r>
      <w:r>
        <w:rPr>
          <w:rFonts w:hint="eastAsia" w:asciiTheme="minorEastAsia" w:hAnsiTheme="minorEastAsia" w:eastAsiaTheme="minorEastAsia" w:cstheme="minorEastAsia"/>
          <w:color w:val="auto"/>
          <w:sz w:val="24"/>
          <w:szCs w:val="24"/>
        </w:rPr>
        <w:t>项目（项目编号：</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9DFED88">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投标人代表无转委权。特此授权。</w:t>
      </w:r>
    </w:p>
    <w:p w14:paraId="7BEA1013">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（以下无正文）</w:t>
      </w:r>
    </w:p>
    <w:p w14:paraId="30EDEF1E">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单位负责人：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身份证号：</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手机：</w:t>
      </w:r>
      <w:r>
        <w:rPr>
          <w:rFonts w:hint="eastAsia" w:asciiTheme="minorEastAsia" w:hAnsiTheme="minorEastAsia" w:eastAsiaTheme="minorEastAsia" w:cstheme="minorEastAsia"/>
          <w:color w:val="auto"/>
          <w:sz w:val="24"/>
          <w:szCs w:val="24"/>
          <w:u w:val="single"/>
        </w:rPr>
        <w:t>　　　　　</w:t>
      </w:r>
    </w:p>
    <w:p w14:paraId="7C6759BF">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投标人代表：</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身份证号：</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手机：</w:t>
      </w:r>
      <w:r>
        <w:rPr>
          <w:rFonts w:hint="eastAsia" w:asciiTheme="minorEastAsia" w:hAnsiTheme="minorEastAsia" w:eastAsiaTheme="minorEastAsia" w:cstheme="minorEastAsia"/>
          <w:color w:val="auto"/>
          <w:sz w:val="24"/>
          <w:szCs w:val="24"/>
          <w:u w:val="single"/>
        </w:rPr>
        <w:t>　　　　　</w:t>
      </w:r>
    </w:p>
    <w:p w14:paraId="58AEB18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授权方</w:t>
      </w:r>
    </w:p>
    <w:p w14:paraId="0E872AB6">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3B80435C">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签署日期： 年 月 日</w:t>
      </w:r>
    </w:p>
    <w:p w14:paraId="07646E3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附：单位负责人、投标人代表的身份证正反面复印件</w:t>
      </w:r>
    </w:p>
    <w:p w14:paraId="4BC4D85E">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要求：真实有效且内容完整、清晰、整洁。</w:t>
      </w:r>
    </w:p>
    <w:p w14:paraId="1AC85924">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45BBAF48">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1、企业（银行、保险、石油石化、电力、电信等行业除外）、事业单位和社会团体法人的“单位负责人”指法定代表人，即与实际提交的“营业执照等证明文件”载明的一致。</w:t>
      </w:r>
    </w:p>
    <w:p w14:paraId="60726A25">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C0B02A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3、投标人（自然人除外）：若投标人代表为单位授权的委托代理人，应提供本授权书；若投标人代表为单位负责人，应在此项下提交其身份证正反面复印件，可不提供本授权书。</w:t>
      </w:r>
    </w:p>
    <w:p w14:paraId="200CE69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4、投标人为自然人的，可不填写本授权书。</w:t>
      </w:r>
    </w:p>
    <w:p w14:paraId="6BE23992">
      <w:pPr>
        <w:pStyle w:val="10"/>
        <w:spacing w:line="360" w:lineRule="auto"/>
        <w:ind w:firstLine="960"/>
        <w:jc w:val="left"/>
        <w:rPr>
          <w:rFonts w:hint="eastAsia" w:asciiTheme="minorEastAsia" w:hAnsiTheme="minorEastAsia" w:eastAsiaTheme="minorEastAsia" w:cstheme="minorEastAsia"/>
          <w:color w:val="auto"/>
          <w:sz w:val="24"/>
          <w:szCs w:val="24"/>
        </w:rPr>
      </w:pPr>
    </w:p>
    <w:p w14:paraId="4875A5E1">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二-2 证明材料</w:t>
      </w:r>
    </w:p>
    <w:p w14:paraId="27A69D11">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F2600E3">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二-2-1 福建省政府采购供应商资格承诺函</w:t>
      </w:r>
    </w:p>
    <w:p w14:paraId="61F2402E">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（采购人或采购代理机构）</w:t>
      </w:r>
    </w:p>
    <w:p w14:paraId="48348074">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单位名称(自然人姓名):</w:t>
      </w:r>
    </w:p>
    <w:p w14:paraId="15A616DA">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统一社会信用代码(自然人身份证号码):</w:t>
      </w:r>
    </w:p>
    <w:p w14:paraId="2FC1349C">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法定代表人(负责人):</w:t>
      </w:r>
    </w:p>
    <w:p w14:paraId="3D8E87CC">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联系地址和电话:</w:t>
      </w:r>
    </w:p>
    <w:p w14:paraId="3DD204E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我单位(本人)自愿参加本次政府采购活动，严格遵守《中华人民共和国政府采购法》及相关法律法规，坚守公开、公平公正和诚实信用等原则，依法诚信经营，并郑重承诺:</w:t>
      </w:r>
    </w:p>
    <w:p w14:paraId="77F475F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一、我单位(本人)具备采购文件要求以及《中华人民共和国政府采购法》第二十二条规定的条件:</w:t>
      </w:r>
    </w:p>
    <w:p w14:paraId="606104DF">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1.具有独立承担民事责任的能力;</w:t>
      </w:r>
    </w:p>
    <w:p w14:paraId="1DD47B36">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2.具有良好的商业信誉和健全的财务会计制度;</w:t>
      </w:r>
    </w:p>
    <w:p w14:paraId="49B78EF1">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3.具有履行合同所必需的设备和专业技术能力;</w:t>
      </w:r>
    </w:p>
    <w:p w14:paraId="2A43E189">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4.有依法缴纳税收和社会保障资金的良好记录;</w:t>
      </w:r>
    </w:p>
    <w:p w14:paraId="0C53E9D3">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5.参加政府采购活动前三年内，在经营活动中没有重大违法记录；</w:t>
      </w:r>
    </w:p>
    <w:p w14:paraId="169CAFD7">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6.法律、行政法规规定的其他条件。</w:t>
      </w:r>
    </w:p>
    <w:p w14:paraId="5EC7B38F">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CB0BC4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36BBBAA">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w:t>
      </w:r>
      <w:r>
        <w:rPr>
          <w:rFonts w:hint="eastAsia" w:asciiTheme="minorEastAsia" w:hAnsiTheme="minorEastAsia" w:eastAsiaTheme="minorEastAsia" w:cstheme="minorEastAsia"/>
          <w:color w:val="auto"/>
          <w:sz w:val="24"/>
          <w:szCs w:val="24"/>
          <w:u w:val="single"/>
        </w:rPr>
        <w:t>名称(单位公章)</w:t>
      </w:r>
    </w:p>
    <w:p w14:paraId="54BA2F36">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7D3EBA9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w:t>
      </w:r>
    </w:p>
    <w:p w14:paraId="679E406D">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1.我单位(本人)专指参加政府采购活动的供应商(含自然人)；</w:t>
      </w:r>
    </w:p>
    <w:p w14:paraId="5E8426E2">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2.资格承诺的供应商应在投标(响应)文件中按此模板提供承诺函，否则，视为未按照招标文件规定提交投标人的资格及资信文件，按资格审查不通过处理。</w:t>
      </w:r>
    </w:p>
    <w:p w14:paraId="7391D467">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195EE7D5">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二-2-2 资格证明材料</w:t>
      </w:r>
    </w:p>
    <w:p w14:paraId="463AD48D">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营业执照等证明文件</w:t>
      </w:r>
    </w:p>
    <w:p w14:paraId="1180F9D4">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（采购人或采购代理机构）</w:t>
      </w:r>
    </w:p>
    <w:p w14:paraId="75D139A4">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）投标人为法人（包括企业、事业单位和社会团体）的</w:t>
      </w:r>
    </w:p>
    <w:p w14:paraId="47390A35">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现附上由</w:t>
      </w:r>
      <w:r>
        <w:rPr>
          <w:rFonts w:hint="eastAsia" w:asciiTheme="minorEastAsia" w:hAnsiTheme="minorEastAsia" w:eastAsiaTheme="minorEastAsia" w:cstheme="minorEastAsia"/>
          <w:color w:val="auto"/>
          <w:sz w:val="24"/>
          <w:szCs w:val="24"/>
          <w:u w:val="single"/>
        </w:rPr>
        <w:t>（（填写“签发机关全称”）</w:t>
      </w:r>
      <w:r>
        <w:rPr>
          <w:rFonts w:hint="eastAsia" w:asciiTheme="minorEastAsia" w:hAnsiTheme="minorEastAsia" w:eastAsiaTheme="minorEastAsia" w:cstheme="minorEastAsia"/>
          <w:color w:val="auto"/>
          <w:sz w:val="24"/>
          <w:szCs w:val="24"/>
        </w:rPr>
        <w:t>签发的我方统一社会信用代码（请填写法人的具体证照名称）复印件，该证明材料真实有效，否则我方负全部责任。</w:t>
      </w:r>
    </w:p>
    <w:p w14:paraId="0550055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）投标人为非法人（包括其他组织、自然人）的</w:t>
      </w:r>
    </w:p>
    <w:p w14:paraId="1644B16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□现附上由</w:t>
      </w:r>
      <w:r>
        <w:rPr>
          <w:rFonts w:hint="eastAsia" w:asciiTheme="minorEastAsia" w:hAnsiTheme="minorEastAsia" w:eastAsiaTheme="minorEastAsia" w:cstheme="minorEastAsia"/>
          <w:color w:val="auto"/>
          <w:sz w:val="24"/>
          <w:szCs w:val="24"/>
          <w:u w:val="single"/>
        </w:rPr>
        <w:t>（（填写“签发机关全称”）</w:t>
      </w:r>
      <w:r>
        <w:rPr>
          <w:rFonts w:hint="eastAsia" w:asciiTheme="minorEastAsia" w:hAnsiTheme="minorEastAsia" w:eastAsiaTheme="minorEastAsia" w:cstheme="minorEastAsia"/>
          <w:color w:val="auto"/>
          <w:sz w:val="24"/>
          <w:szCs w:val="24"/>
        </w:rPr>
        <w:t>签发的我方（请填写非自然人的非法人的具体证照名称）复印件，该证明材料真实有效，否则我方负全部责任。</w:t>
      </w:r>
    </w:p>
    <w:p w14:paraId="18CDEAA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□现附上由</w:t>
      </w:r>
      <w:r>
        <w:rPr>
          <w:rFonts w:hint="eastAsia" w:asciiTheme="minorEastAsia" w:hAnsiTheme="minorEastAsia" w:eastAsiaTheme="minorEastAsia" w:cstheme="minorEastAsia"/>
          <w:color w:val="auto"/>
          <w:sz w:val="24"/>
          <w:szCs w:val="24"/>
          <w:u w:val="single"/>
        </w:rPr>
        <w:t>（（填写“签发机关全称”）</w:t>
      </w:r>
      <w:r>
        <w:rPr>
          <w:rFonts w:hint="eastAsia" w:asciiTheme="minorEastAsia" w:hAnsiTheme="minorEastAsia" w:eastAsiaTheme="minorEastAsia" w:cstheme="minorEastAsia"/>
          <w:color w:val="auto"/>
          <w:sz w:val="24"/>
          <w:szCs w:val="24"/>
        </w:rPr>
        <w:t>签发的我方（请填写自然人的身份证件名称）复印件，该证明材料真实有效，否则我方负全部责任。</w:t>
      </w:r>
    </w:p>
    <w:p w14:paraId="0CC812CE">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06CECCD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1、请投标人按照实际情况编制填写，在相应的（）中打“√”并选择相应的“□”（若有）后，再按照本格式的要求提供相应证明材料的复印件。</w:t>
      </w:r>
    </w:p>
    <w:p w14:paraId="33CA281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089358B">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5FC6FCDD">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72D779E5">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36833666">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财务状况报告（财务报告、或资信证明）</w:t>
      </w:r>
    </w:p>
    <w:p w14:paraId="10947F2F">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（采购人或采购代理机构）</w:t>
      </w:r>
    </w:p>
    <w:p w14:paraId="77C2AF65">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）投标人提供财务报告的</w:t>
      </w:r>
    </w:p>
    <w:p w14:paraId="3A833961">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□企业适用：现附上我方</w:t>
      </w:r>
      <w:r>
        <w:rPr>
          <w:rFonts w:hint="eastAsia" w:asciiTheme="minorEastAsia" w:hAnsiTheme="minorEastAsia" w:eastAsiaTheme="minorEastAsia" w:cstheme="minorEastAsia"/>
          <w:color w:val="auto"/>
          <w:sz w:val="24"/>
          <w:szCs w:val="24"/>
          <w:u w:val="single"/>
        </w:rPr>
        <w:t>（填写“具体的年度、或半年度、季度”）</w:t>
      </w:r>
      <w:r>
        <w:rPr>
          <w:rFonts w:hint="eastAsia" w:asciiTheme="minorEastAsia" w:hAnsiTheme="minorEastAsia" w:eastAsiaTheme="minorEastAsia" w:cstheme="minorEastAsia"/>
          <w:color w:val="auto"/>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7812CDBB">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□事业单位适用：现附上我方</w:t>
      </w:r>
      <w:r>
        <w:rPr>
          <w:rFonts w:hint="eastAsia" w:asciiTheme="minorEastAsia" w:hAnsiTheme="minorEastAsia" w:eastAsiaTheme="minorEastAsia" w:cstheme="minorEastAsia"/>
          <w:color w:val="auto"/>
          <w:sz w:val="24"/>
          <w:szCs w:val="24"/>
          <w:u w:val="single"/>
        </w:rPr>
        <w:t>（填写“具体的年度、或半年度、或季度”）</w:t>
      </w:r>
      <w:r>
        <w:rPr>
          <w:rFonts w:hint="eastAsia" w:asciiTheme="minorEastAsia" w:hAnsiTheme="minorEastAsia" w:eastAsiaTheme="minorEastAsia" w:cstheme="minorEastAsia"/>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14:paraId="5CA8AC7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□社会团体、民办非企适用：现附上我方</w:t>
      </w:r>
      <w:r>
        <w:rPr>
          <w:rFonts w:hint="eastAsia" w:asciiTheme="minorEastAsia" w:hAnsiTheme="minorEastAsia" w:eastAsiaTheme="minorEastAsia" w:cstheme="minorEastAsia"/>
          <w:color w:val="auto"/>
          <w:sz w:val="24"/>
          <w:szCs w:val="24"/>
          <w:u w:val="single"/>
        </w:rPr>
        <w:t>（填写“具体的年度、或半年度、或季度”）</w:t>
      </w:r>
      <w:r>
        <w:rPr>
          <w:rFonts w:hint="eastAsia" w:asciiTheme="minorEastAsia" w:hAnsiTheme="minorEastAsia" w:eastAsiaTheme="minorEastAsia" w:cstheme="minorEastAsia"/>
          <w:color w:val="auto"/>
          <w:sz w:val="24"/>
          <w:szCs w:val="24"/>
        </w:rPr>
        <w:t>财务报告复印件，包括资产负债表、业务活动表、现金流量表、会计师事务所营业执照和注册会计师资格证书，上述证明材料真实有效，否则我方负全部责任。</w:t>
      </w:r>
    </w:p>
    <w:p w14:paraId="54B59B38">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）投标人提供资信证明的</w:t>
      </w:r>
    </w:p>
    <w:p w14:paraId="5D1AE61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□非自然人适用（包括企业、事业单位、社会团体和其他组织）：现附上我方银行：</w:t>
      </w:r>
      <w:r>
        <w:rPr>
          <w:rFonts w:hint="eastAsia" w:asciiTheme="minorEastAsia" w:hAnsiTheme="minorEastAsia" w:eastAsiaTheme="minorEastAsia" w:cstheme="minorEastAsia"/>
          <w:color w:val="auto"/>
          <w:sz w:val="24"/>
          <w:szCs w:val="24"/>
          <w:u w:val="single"/>
        </w:rPr>
        <w:t>（填写“开户银行全称”）</w:t>
      </w:r>
      <w:r>
        <w:rPr>
          <w:rFonts w:hint="eastAsia" w:asciiTheme="minorEastAsia" w:hAnsiTheme="minorEastAsia" w:eastAsiaTheme="minorEastAsia" w:cstheme="minorEastAsia"/>
          <w:color w:val="auto"/>
          <w:sz w:val="24"/>
          <w:szCs w:val="24"/>
        </w:rPr>
        <w:t>出具的资信证明复印件，上述证明材料真实有效，否则我方负全部责任。</w:t>
      </w:r>
    </w:p>
    <w:p w14:paraId="3F84D995">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□自然人适用：现附上我方银行</w:t>
      </w:r>
      <w:r>
        <w:rPr>
          <w:rFonts w:hint="eastAsia" w:asciiTheme="minorEastAsia" w:hAnsiTheme="minorEastAsia" w:eastAsiaTheme="minorEastAsia" w:cstheme="minorEastAsia"/>
          <w:color w:val="auto"/>
          <w:sz w:val="24"/>
          <w:szCs w:val="24"/>
          <w:u w:val="single"/>
        </w:rPr>
        <w:t>：（填写自然人的“个人账户的开户银行全称”）</w:t>
      </w:r>
      <w:r>
        <w:rPr>
          <w:rFonts w:hint="eastAsia" w:asciiTheme="minorEastAsia" w:hAnsiTheme="minorEastAsia" w:eastAsiaTheme="minorEastAsia" w:cstheme="minorEastAsia"/>
          <w:color w:val="auto"/>
          <w:sz w:val="24"/>
          <w:szCs w:val="24"/>
        </w:rPr>
        <w:t>出具的资信证明复印件，上述证明材料真实有效，否则我方负全部责任。</w:t>
      </w:r>
    </w:p>
    <w:p w14:paraId="29B84933">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6828A4B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1、请投标人按照实际情况编制填写，在相应的（）中打“√”并选择相应的“□”（若有）后，再按照本格式的要求提供相应证明材料的复印件。</w:t>
      </w:r>
    </w:p>
    <w:p w14:paraId="7A975D4B">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2、投标人提供的财务报告复印件（成立年限按照投标截止时间推算）应符合下列规定：</w:t>
      </w:r>
    </w:p>
    <w:p w14:paraId="2410AE2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2.1成立年限满1年及以上的投标人，提供经审计的招标文件规定的年度财务报告。</w:t>
      </w:r>
    </w:p>
    <w:p w14:paraId="4EEA157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2.2成立年限满半年但不足1年的投标人，提供该半年度中任一季度的季度财务报告或该半年度的半年度财务报告。</w:t>
      </w:r>
    </w:p>
    <w:p w14:paraId="30C86278">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85D3713">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1E4CE1E7">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7FD6A3CC">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38003912">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依法缴纳税收证明材料</w:t>
      </w:r>
    </w:p>
    <w:p w14:paraId="001E3BE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（采购人或采购代理机构）</w:t>
      </w:r>
    </w:p>
    <w:p w14:paraId="1AFB4E14">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1、依法缴纳税收的投标人</w:t>
      </w:r>
    </w:p>
    <w:p w14:paraId="7B301EEE">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）法人（包括企业、事业单位和社会团体）的</w:t>
      </w:r>
    </w:p>
    <w:p w14:paraId="588E4A09">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现附上自</w:t>
      </w:r>
      <w:r>
        <w:rPr>
          <w:rFonts w:hint="eastAsia" w:asciiTheme="minorEastAsia" w:hAnsiTheme="minorEastAsia" w:eastAsiaTheme="minorEastAsia" w:cstheme="minorEastAsia"/>
          <w:color w:val="auto"/>
          <w:sz w:val="24"/>
          <w:szCs w:val="24"/>
          <w:u w:val="single"/>
        </w:rPr>
        <w:t>　　年　　月　　日</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u w:val="single"/>
        </w:rPr>
        <w:t>　　年　　月　　日</w:t>
      </w:r>
      <w:r>
        <w:rPr>
          <w:rFonts w:hint="eastAsia" w:asciiTheme="minorEastAsia" w:hAnsiTheme="minorEastAsia" w:eastAsiaTheme="minorEastAsia" w:cstheme="minorEastAsia"/>
          <w:color w:val="auto"/>
          <w:sz w:val="24"/>
          <w:szCs w:val="24"/>
        </w:rPr>
        <w:t>期间我方缴纳（包括但不限于税务机关出具的专用收据、税收缴纳证明或税收代缴银行的缴款收讫凭证）等税收凭据复印件，上述证明材料真实有效，否则我方负全部责任。</w:t>
      </w:r>
    </w:p>
    <w:p w14:paraId="466C5A18">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）非法人（包括其他组织、自然人）的</w:t>
      </w:r>
    </w:p>
    <w:p w14:paraId="6056594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现附上自</w:t>
      </w:r>
      <w:r>
        <w:rPr>
          <w:rFonts w:hint="eastAsia" w:asciiTheme="minorEastAsia" w:hAnsiTheme="minorEastAsia" w:eastAsiaTheme="minorEastAsia" w:cstheme="minorEastAsia"/>
          <w:color w:val="auto"/>
          <w:sz w:val="24"/>
          <w:szCs w:val="24"/>
          <w:u w:val="single"/>
        </w:rPr>
        <w:t>　　年　　月　　日</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u w:val="single"/>
        </w:rPr>
        <w:t>　　年　　月　　日</w:t>
      </w:r>
      <w:r>
        <w:rPr>
          <w:rFonts w:hint="eastAsia" w:asciiTheme="minorEastAsia" w:hAnsiTheme="minorEastAsia" w:eastAsiaTheme="minorEastAsia" w:cstheme="minorEastAsia"/>
          <w:color w:val="auto"/>
          <w:sz w:val="24"/>
          <w:szCs w:val="24"/>
        </w:rPr>
        <w:t>期间我方缴纳（包括但不限于税务机关出具的专用收据、税收缴纳证明或税收代缴银行的缴款收讫凭证）等税收凭据复印件，上述证明材料真实有效，否则我方负全部责任。</w:t>
      </w:r>
    </w:p>
    <w:p w14:paraId="00C13F68">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2、依法免税的投标人</w:t>
      </w:r>
    </w:p>
    <w:p w14:paraId="18A571C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）现附上我方依法免税的证明材料复印件，上述证明材料真实有效，否则我方负全部责任。</w:t>
      </w:r>
    </w:p>
    <w:p w14:paraId="70427059">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1678BA30">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1、请投标人按照实际情况编制填写，在相应的（）中打“√”，并按照本格式的要求提供相应证明材料的复印件。</w:t>
      </w:r>
    </w:p>
    <w:p w14:paraId="7E72E059">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2、投标人提供的税收缴纳凭据复印件应符合下列规定：</w:t>
      </w:r>
    </w:p>
    <w:p w14:paraId="0E4BAF6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2.1投标截止时间前（不含投标截止时间的当月）已依法缴纳税收的投标人，提供投标截止时间前六个月（不含投标截止时间的当月）中任一月份的税收缴纳凭据复印件。</w:t>
      </w:r>
    </w:p>
    <w:p w14:paraId="046C58C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2.2投标截止时间的当月成立的投标人，视同满足本项资格条件要求。</w:t>
      </w:r>
    </w:p>
    <w:p w14:paraId="0B2CBB50">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3、若为依法免税范围的投标人，提供依法免税证明材料的，视同满足本项资格条件要求。</w:t>
      </w:r>
    </w:p>
    <w:p w14:paraId="35A392BC">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7CD19B06">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6407DDF7">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68B1E80B">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依法缴纳社会保障资金证明材料</w:t>
      </w:r>
    </w:p>
    <w:p w14:paraId="2A812CC5">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（采购人或采购代理机构）</w:t>
      </w:r>
    </w:p>
    <w:p w14:paraId="66A2A6EE">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1、依法缴纳社会保障资金的投标人</w:t>
      </w:r>
    </w:p>
    <w:p w14:paraId="7C467558">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）法人（包括企业、事业单位和社会团体）的</w:t>
      </w:r>
    </w:p>
    <w:p w14:paraId="3B1CA6A8">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现附上自</w:t>
      </w:r>
      <w:r>
        <w:rPr>
          <w:rFonts w:hint="eastAsia" w:asciiTheme="minorEastAsia" w:hAnsiTheme="minorEastAsia" w:eastAsiaTheme="minorEastAsia" w:cstheme="minorEastAsia"/>
          <w:color w:val="auto"/>
          <w:sz w:val="24"/>
          <w:szCs w:val="24"/>
          <w:u w:val="single"/>
        </w:rPr>
        <w:t>　　年　　月　　日</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u w:val="single"/>
        </w:rPr>
        <w:t>　　年　　月　　日</w:t>
      </w:r>
      <w:r>
        <w:rPr>
          <w:rFonts w:hint="eastAsia" w:asciiTheme="minorEastAsia" w:hAnsiTheme="minorEastAsia" w:eastAsiaTheme="minorEastAsia" w:cstheme="minorEastAsia"/>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325DF34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）非法人（包括其他组织、自然人）的</w:t>
      </w:r>
    </w:p>
    <w:p w14:paraId="3DD1FFF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w:t>
      </w:r>
      <w:r>
        <w:rPr>
          <w:rFonts w:hint="eastAsia" w:asciiTheme="minorEastAsia" w:hAnsiTheme="minorEastAsia" w:eastAsiaTheme="minorEastAsia" w:cstheme="minorEastAsia"/>
          <w:color w:val="auto"/>
          <w:sz w:val="24"/>
          <w:szCs w:val="24"/>
          <w:u w:val="single"/>
        </w:rPr>
        <w:t>　　年　　月　　日</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u w:val="single"/>
        </w:rPr>
        <w:t>　　年　　月　　日</w:t>
      </w:r>
      <w:r>
        <w:rPr>
          <w:rFonts w:hint="eastAsia" w:asciiTheme="minorEastAsia" w:hAnsiTheme="minorEastAsia" w:eastAsiaTheme="minorEastAsia" w:cstheme="minorEastAsia"/>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FAD8E44">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2、依法不需要缴纳或暂缓缴纳社会保障资金的投标人</w:t>
      </w:r>
    </w:p>
    <w:p w14:paraId="0726037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）现附上我方依法不需要缴纳或暂缓缴纳社会保障资金证明材料复印件，上述证明材料真实有效，否则我方负全部责任。</w:t>
      </w:r>
    </w:p>
    <w:p w14:paraId="375F89E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779EAB9F">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1、请投标人按照实际情况编制填写，在相应的（）中打“√”，并按照本格式的要求提供相应证明材料的复印件。</w:t>
      </w:r>
    </w:p>
    <w:p w14:paraId="2D7282B8">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2、投标人提供的社会保障资金缴纳凭据复印件应符合下列规定：</w:t>
      </w:r>
    </w:p>
    <w:p w14:paraId="45B8A39F">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5DBAAEE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2.2投标截止时间的当月成立的投标人，视同满足本项资格条件要求。</w:t>
      </w:r>
    </w:p>
    <w:p w14:paraId="15B1EFEB">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3、若为依法不需要缴纳或暂缓缴纳社会保障资金的投标人，提供依法不需要缴纳或暂缓缴纳社会保障资金证明材料的，视同满足本项资格条件要求。</w:t>
      </w:r>
    </w:p>
    <w:p w14:paraId="0965F94F">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24481BA9">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1B13434E">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2F51AC2B">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具备履行合同所必需设备和专业技术能力的声明函（若有）</w:t>
      </w:r>
    </w:p>
    <w:p w14:paraId="768BEC59">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（采购人或采购代理机构）</w:t>
      </w:r>
    </w:p>
    <w:p w14:paraId="185C001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我方具备履行合同所必需的设备和专业技术能力，否则产生不利后果由我方承担责任。</w:t>
      </w:r>
    </w:p>
    <w:p w14:paraId="05B85837">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特此声明。</w:t>
      </w:r>
    </w:p>
    <w:p w14:paraId="68E61A2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545D0279">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1、招标文件未要求投标人提供“具备履行合同所必需的设备和专业技术能力专项证明材料”的，投标人应提供本声明函。</w:t>
      </w:r>
    </w:p>
    <w:p w14:paraId="627A7880">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2、招标文件要求投标人提供“具备履行合同所必需的设备和专业技术能力专项证明材料”的，投标人可不提供本声明函。</w:t>
      </w:r>
    </w:p>
    <w:p w14:paraId="1B0E8BC5">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3、请投标人根据实际情况如实声明，否则视为提供虚假材料。</w:t>
      </w:r>
    </w:p>
    <w:p w14:paraId="1B4BE1DE">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48F87B9F">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29B0A326">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1D50B089">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参加采购活动前三年内在经营活动中没有重大违法记录书面声明</w:t>
      </w:r>
    </w:p>
    <w:p w14:paraId="52663AAF">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（采购人或采购代理机构）</w:t>
      </w:r>
    </w:p>
    <w:p w14:paraId="356B5ED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56E77242">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特此声明。</w:t>
      </w:r>
    </w:p>
    <w:p w14:paraId="265EA35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5B662F5E">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B98B536">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请投标人根据实际情况如实声明，否则视为提供虚假材料。</w:t>
      </w:r>
    </w:p>
    <w:p w14:paraId="1C05302C">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5789FC80">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1A78B197">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12237BD1">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二-3信用记录查询提示</w:t>
      </w:r>
    </w:p>
    <w:p w14:paraId="71DDB77E">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1、由资格审查小组通过网站查询并打印投标人的信用记录。</w:t>
      </w:r>
    </w:p>
    <w:p w14:paraId="360D9AD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40C207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3EB6AAD">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009EE348">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二-4中小企业声明函</w:t>
      </w:r>
    </w:p>
    <w:p w14:paraId="68287E87">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（以资格条件落实中小企业扶持政策时适用，若有）</w:t>
      </w:r>
    </w:p>
    <w:p w14:paraId="7B53F53A">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中小企业声明函（货物）</w:t>
      </w:r>
    </w:p>
    <w:p w14:paraId="72BE7469">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szCs w:val="24"/>
          <w:u w:val="single"/>
        </w:rPr>
        <w:t>（单位名称）</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u w:val="single"/>
        </w:rPr>
        <w:t>（项目名称）</w:t>
      </w:r>
      <w:r>
        <w:rPr>
          <w:rFonts w:hint="eastAsia" w:asciiTheme="minorEastAsia" w:hAnsiTheme="minorEastAsia" w:eastAsiaTheme="minorEastAsia" w:cstheme="minorEastAsia"/>
          <w:color w:val="auto"/>
          <w:sz w:val="24"/>
          <w:szCs w:val="24"/>
        </w:rPr>
        <w:t>采购活动，提供的货物全部由符合政策要求的中小企业制造。相关企业（含联合体中的中小企业、签订分包意向协议的中小企业）的具体情况如下：</w:t>
      </w:r>
    </w:p>
    <w:p w14:paraId="5036853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u w:val="single"/>
        </w:rPr>
        <w:t xml:space="preserve"> （标的名称） </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（采购文件中明确的所属行业）</w:t>
      </w:r>
      <w:r>
        <w:rPr>
          <w:rFonts w:hint="eastAsia" w:asciiTheme="minorEastAsia" w:hAnsiTheme="minorEastAsia" w:eastAsiaTheme="minorEastAsia" w:cstheme="minorEastAsia"/>
          <w:color w:val="auto"/>
          <w:sz w:val="24"/>
          <w:szCs w:val="24"/>
        </w:rPr>
        <w:t>行业；制造商为</w:t>
      </w:r>
      <w:r>
        <w:rPr>
          <w:rFonts w:hint="eastAsia" w:asciiTheme="minorEastAsia" w:hAnsiTheme="minorEastAsia" w:eastAsiaTheme="minorEastAsia" w:cstheme="minorEastAsia"/>
          <w:color w:val="auto"/>
          <w:sz w:val="24"/>
          <w:szCs w:val="24"/>
          <w:u w:val="single"/>
        </w:rPr>
        <w:t>（企业名称）</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万元¹，属于</w:t>
      </w:r>
      <w:r>
        <w:rPr>
          <w:rFonts w:hint="eastAsia" w:asciiTheme="minorEastAsia" w:hAnsiTheme="minorEastAsia" w:eastAsiaTheme="minorEastAsia" w:cstheme="minorEastAsia"/>
          <w:color w:val="auto"/>
          <w:sz w:val="24"/>
          <w:szCs w:val="24"/>
          <w:u w:val="single"/>
        </w:rPr>
        <w:t>（中型企业、小型企业、微型企业）</w:t>
      </w:r>
      <w:r>
        <w:rPr>
          <w:rFonts w:hint="eastAsia" w:asciiTheme="minorEastAsia" w:hAnsiTheme="minorEastAsia" w:eastAsiaTheme="minorEastAsia" w:cstheme="minorEastAsia"/>
          <w:color w:val="auto"/>
          <w:sz w:val="24"/>
          <w:szCs w:val="24"/>
        </w:rPr>
        <w:t>；</w:t>
      </w:r>
    </w:p>
    <w:p w14:paraId="7B672F29">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u w:val="single"/>
        </w:rPr>
        <w:t xml:space="preserve"> （标的名称） </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（采购文件中明确的所属行业）</w:t>
      </w:r>
      <w:r>
        <w:rPr>
          <w:rFonts w:hint="eastAsia" w:asciiTheme="minorEastAsia" w:hAnsiTheme="minorEastAsia" w:eastAsiaTheme="minorEastAsia" w:cstheme="minorEastAsia"/>
          <w:color w:val="auto"/>
          <w:sz w:val="24"/>
          <w:szCs w:val="24"/>
        </w:rPr>
        <w:t>行业；制造商为</w:t>
      </w:r>
      <w:r>
        <w:rPr>
          <w:rFonts w:hint="eastAsia" w:asciiTheme="minorEastAsia" w:hAnsiTheme="minorEastAsia" w:eastAsiaTheme="minorEastAsia" w:cstheme="minorEastAsia"/>
          <w:color w:val="auto"/>
          <w:sz w:val="24"/>
          <w:szCs w:val="24"/>
          <w:u w:val="single"/>
        </w:rPr>
        <w:t>（企业名称）</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万元，属于</w:t>
      </w:r>
      <w:r>
        <w:rPr>
          <w:rFonts w:hint="eastAsia" w:asciiTheme="minorEastAsia" w:hAnsiTheme="minorEastAsia" w:eastAsiaTheme="minorEastAsia" w:cstheme="minorEastAsia"/>
          <w:color w:val="auto"/>
          <w:sz w:val="24"/>
          <w:szCs w:val="24"/>
          <w:u w:val="single"/>
        </w:rPr>
        <w:t>（中型企业、小型企业、微型企业）</w:t>
      </w:r>
      <w:r>
        <w:rPr>
          <w:rFonts w:hint="eastAsia" w:asciiTheme="minorEastAsia" w:hAnsiTheme="minorEastAsia" w:eastAsiaTheme="minorEastAsia" w:cstheme="minorEastAsia"/>
          <w:color w:val="auto"/>
          <w:sz w:val="24"/>
          <w:szCs w:val="24"/>
        </w:rPr>
        <w:t>；</w:t>
      </w:r>
    </w:p>
    <w:p w14:paraId="021A061B">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2199AFEF">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以上企业，不属于大企业的分支机构，不存在控股股东为大企业的情形，也不存在与大企业的负责人为同一人的情形。</w:t>
      </w:r>
    </w:p>
    <w:p w14:paraId="206A91B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本企业对上述声明内容的真实性负责。如有虚假，将依法承担相应责任。</w:t>
      </w:r>
    </w:p>
    <w:p w14:paraId="26A3E697">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45BED95F">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097A5D5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771BA0A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1、从业人员、营业收入、资产总额填报上一年度数据，无上一年度数据的新成立企业可不填报。</w:t>
      </w:r>
    </w:p>
    <w:p w14:paraId="37DC70E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1E83419">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9018E2D">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73CACD2D">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中小企业声明函（工程、服务）</w:t>
      </w:r>
    </w:p>
    <w:p w14:paraId="4D20D940">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szCs w:val="24"/>
          <w:u w:val="single"/>
        </w:rPr>
        <w:t>（单位名称）</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u w:val="single"/>
        </w:rPr>
        <w:t>（项目名称）</w:t>
      </w:r>
      <w:r>
        <w:rPr>
          <w:rFonts w:hint="eastAsia" w:asciiTheme="minorEastAsia" w:hAnsiTheme="minorEastAsia" w:eastAsiaTheme="minorEastAsia" w:cstheme="minorEastAsia"/>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A3CB760">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u w:val="single"/>
        </w:rPr>
        <w:t>（标的名称）</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（采购文件中明确的所属行业）</w:t>
      </w:r>
      <w:r>
        <w:rPr>
          <w:rFonts w:hint="eastAsia" w:asciiTheme="minorEastAsia" w:hAnsiTheme="minorEastAsia" w:eastAsiaTheme="minorEastAsia" w:cstheme="minorEastAsia"/>
          <w:color w:val="auto"/>
          <w:sz w:val="24"/>
          <w:szCs w:val="24"/>
        </w:rPr>
        <w:t>；承建（承接）企业为</w:t>
      </w:r>
      <w:r>
        <w:rPr>
          <w:rFonts w:hint="eastAsia" w:asciiTheme="minorEastAsia" w:hAnsiTheme="minorEastAsia" w:eastAsiaTheme="minorEastAsia" w:cstheme="minorEastAsia"/>
          <w:color w:val="auto"/>
          <w:sz w:val="24"/>
          <w:szCs w:val="24"/>
          <w:u w:val="single"/>
        </w:rPr>
        <w:t>（企业名称）</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万元¹，属于</w:t>
      </w:r>
      <w:r>
        <w:rPr>
          <w:rFonts w:hint="eastAsia" w:asciiTheme="minorEastAsia" w:hAnsiTheme="minorEastAsia" w:eastAsiaTheme="minorEastAsia" w:cstheme="minorEastAsia"/>
          <w:color w:val="auto"/>
          <w:sz w:val="24"/>
          <w:szCs w:val="24"/>
          <w:u w:val="single"/>
        </w:rPr>
        <w:t>（中型企业、小型企业、微型企业）</w:t>
      </w:r>
      <w:r>
        <w:rPr>
          <w:rFonts w:hint="eastAsia" w:asciiTheme="minorEastAsia" w:hAnsiTheme="minorEastAsia" w:eastAsiaTheme="minorEastAsia" w:cstheme="minorEastAsia"/>
          <w:color w:val="auto"/>
          <w:sz w:val="24"/>
          <w:szCs w:val="24"/>
        </w:rPr>
        <w:t>；</w:t>
      </w:r>
    </w:p>
    <w:p w14:paraId="060C9B7B">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u w:val="single"/>
        </w:rPr>
        <w:t>（标的名称）</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（采购文件中明确的所属行业）</w:t>
      </w:r>
      <w:r>
        <w:rPr>
          <w:rFonts w:hint="eastAsia" w:asciiTheme="minorEastAsia" w:hAnsiTheme="minorEastAsia" w:eastAsiaTheme="minorEastAsia" w:cstheme="minorEastAsia"/>
          <w:color w:val="auto"/>
          <w:sz w:val="24"/>
          <w:szCs w:val="24"/>
        </w:rPr>
        <w:t>；承建（承接）企业为</w:t>
      </w:r>
      <w:r>
        <w:rPr>
          <w:rFonts w:hint="eastAsia" w:asciiTheme="minorEastAsia" w:hAnsiTheme="minorEastAsia" w:eastAsiaTheme="minorEastAsia" w:cstheme="minorEastAsia"/>
          <w:color w:val="auto"/>
          <w:sz w:val="24"/>
          <w:szCs w:val="24"/>
          <w:u w:val="single"/>
        </w:rPr>
        <w:t>（企业名称）</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万元，属于</w:t>
      </w:r>
      <w:r>
        <w:rPr>
          <w:rFonts w:hint="eastAsia" w:asciiTheme="minorEastAsia" w:hAnsiTheme="minorEastAsia" w:eastAsiaTheme="minorEastAsia" w:cstheme="minorEastAsia"/>
          <w:color w:val="auto"/>
          <w:sz w:val="24"/>
          <w:szCs w:val="24"/>
          <w:u w:val="single"/>
        </w:rPr>
        <w:t>（中型企业、小型企业、微型企业）</w:t>
      </w:r>
      <w:r>
        <w:rPr>
          <w:rFonts w:hint="eastAsia" w:asciiTheme="minorEastAsia" w:hAnsiTheme="minorEastAsia" w:eastAsiaTheme="minorEastAsia" w:cstheme="minorEastAsia"/>
          <w:color w:val="auto"/>
          <w:sz w:val="24"/>
          <w:szCs w:val="24"/>
        </w:rPr>
        <w:t>；</w:t>
      </w:r>
    </w:p>
    <w:p w14:paraId="39FE460B">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5534215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以上企业，不属于大企业的分支机构，不存在控股股东为大企业的情形，也不存在与大企业的负责人为同一人的情形。</w:t>
      </w:r>
    </w:p>
    <w:p w14:paraId="418A7FA9">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本企业对上述声明内容的真实性负责。如有虚假，将依法承担相应责任。</w:t>
      </w:r>
    </w:p>
    <w:p w14:paraId="49D2C89C">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73EF742B">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48BAC534">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134913D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1、从业人员、营业收入、资产总额填报上一年度数据，无上一年度数据的新成立企业可不填报。</w:t>
      </w:r>
    </w:p>
    <w:p w14:paraId="4ABC94C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9105893">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188FB6F">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46469475">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残疾人福利性单位声明函</w:t>
      </w:r>
    </w:p>
    <w:p w14:paraId="2F5F5493">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（以资格条件落实中小企业扶持政策时适用，若有）</w:t>
      </w:r>
    </w:p>
    <w:p w14:paraId="4645102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24E99F4">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BFDF89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）由本投标人承建的（填写“所投采购包、品目号”）工程</w:t>
      </w:r>
    </w:p>
    <w:p w14:paraId="784A2B39">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）由本投标人承接的（填写“所投采购包、品目号”）服务；</w:t>
      </w:r>
    </w:p>
    <w:p w14:paraId="761E2F1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本投标人对上述声明的真实性负责。如有虚假，将依法承担相应责任。</w:t>
      </w:r>
    </w:p>
    <w:p w14:paraId="5353176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p w14:paraId="17437015">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1、请投标人按照实际情况编制填写本声明函，并在相应的（）中打“√”。</w:t>
      </w:r>
    </w:p>
    <w:p w14:paraId="31A1FD4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2、若《残疾人福利性单位声明函》内容不真实，视为提供虚假材料。</w:t>
      </w:r>
    </w:p>
    <w:p w14:paraId="4DB9F7E6">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79576D4C">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39279F8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w:t>
      </w:r>
    </w:p>
    <w:p w14:paraId="08B04D74">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监狱企业证明材料</w:t>
      </w:r>
    </w:p>
    <w:p w14:paraId="454ED5F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投标人为监狱企业，提供本单位制造的货物（承接的服务），并在电子投标文件中提供省级以上监狱管理局、戒毒管理局（含新疆生产建设兵团）出具的属于监狱企业的证明文件。</w:t>
      </w:r>
    </w:p>
    <w:p w14:paraId="1E2C9794">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699584C0">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二-5联合体协议（若有）</w:t>
      </w:r>
    </w:p>
    <w:p w14:paraId="265C5CB1">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（采购人或采购代理机构）</w:t>
      </w:r>
    </w:p>
    <w:p w14:paraId="5C982E8E">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兹有</w:t>
      </w:r>
      <w:r>
        <w:rPr>
          <w:rFonts w:hint="eastAsia" w:asciiTheme="minorEastAsia" w:hAnsiTheme="minorEastAsia" w:eastAsiaTheme="minorEastAsia" w:cstheme="minorEastAsia"/>
          <w:color w:val="auto"/>
          <w:sz w:val="24"/>
          <w:szCs w:val="24"/>
          <w:u w:val="single"/>
        </w:rPr>
        <w:t>（填写“联合体中各方的全称”，各方的全称之间请用“、”分割）</w:t>
      </w:r>
      <w:r>
        <w:rPr>
          <w:rFonts w:hint="eastAsia" w:asciiTheme="minorEastAsia" w:hAnsiTheme="minorEastAsia" w:eastAsiaTheme="minorEastAsia" w:cstheme="minorEastAsia"/>
          <w:color w:val="auto"/>
          <w:sz w:val="24"/>
          <w:szCs w:val="24"/>
        </w:rPr>
        <w:t>自愿组成联合体，共同参加</w:t>
      </w:r>
      <w:r>
        <w:rPr>
          <w:rFonts w:hint="eastAsia" w:asciiTheme="minorEastAsia" w:hAnsiTheme="minorEastAsia" w:eastAsiaTheme="minorEastAsia" w:cstheme="minorEastAsia"/>
          <w:color w:val="auto"/>
          <w:sz w:val="24"/>
          <w:szCs w:val="24"/>
          <w:u w:val="single"/>
        </w:rPr>
        <w:t>（填写“项目名称”）</w:t>
      </w:r>
      <w:r>
        <w:rPr>
          <w:rFonts w:hint="eastAsia" w:asciiTheme="minorEastAsia" w:hAnsiTheme="minorEastAsia" w:eastAsiaTheme="minorEastAsia" w:cstheme="minorEastAsia"/>
          <w:color w:val="auto"/>
          <w:sz w:val="24"/>
          <w:szCs w:val="24"/>
        </w:rPr>
        <w:t xml:space="preserve"> 项目（项目编号：</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）的投标。现就联合体参加本项目投标的有关事宜达成下列协议：</w:t>
      </w:r>
    </w:p>
    <w:p w14:paraId="77B4AB86">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一、联合体各方应承担的工作和义务具体如下：</w:t>
      </w:r>
    </w:p>
    <w:p w14:paraId="5EA58A4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1、牵头方（全称）：</w:t>
      </w:r>
      <w:r>
        <w:rPr>
          <w:rFonts w:hint="eastAsia" w:asciiTheme="minorEastAsia" w:hAnsiTheme="minorEastAsia" w:eastAsiaTheme="minorEastAsia" w:cstheme="minorEastAsia"/>
          <w:color w:val="auto"/>
          <w:sz w:val="24"/>
          <w:szCs w:val="24"/>
          <w:u w:val="single"/>
        </w:rPr>
        <w:t xml:space="preserve">（填写“工作及义务的具体内容”） </w:t>
      </w:r>
      <w:r>
        <w:rPr>
          <w:rFonts w:hint="eastAsia" w:asciiTheme="minorEastAsia" w:hAnsiTheme="minorEastAsia" w:eastAsiaTheme="minorEastAsia" w:cstheme="minorEastAsia"/>
          <w:color w:val="auto"/>
          <w:sz w:val="24"/>
          <w:szCs w:val="24"/>
        </w:rPr>
        <w:t>；</w:t>
      </w:r>
    </w:p>
    <w:p w14:paraId="63F9177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2、成员方：</w:t>
      </w:r>
    </w:p>
    <w:p w14:paraId="36B8C57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2.1（成员一的全称）：</w:t>
      </w:r>
      <w:r>
        <w:rPr>
          <w:rFonts w:hint="eastAsia" w:asciiTheme="minorEastAsia" w:hAnsiTheme="minorEastAsia" w:eastAsiaTheme="minorEastAsia" w:cstheme="minorEastAsia"/>
          <w:color w:val="auto"/>
          <w:sz w:val="24"/>
          <w:szCs w:val="24"/>
          <w:u w:val="single"/>
        </w:rPr>
        <w:t>（填写“工作及义务的具体内容”）</w:t>
      </w:r>
      <w:r>
        <w:rPr>
          <w:rFonts w:hint="eastAsia" w:asciiTheme="minorEastAsia" w:hAnsiTheme="minorEastAsia" w:eastAsiaTheme="minorEastAsia" w:cstheme="minorEastAsia"/>
          <w:color w:val="auto"/>
          <w:sz w:val="24"/>
          <w:szCs w:val="24"/>
        </w:rPr>
        <w:t xml:space="preserve"> ；</w:t>
      </w:r>
    </w:p>
    <w:p w14:paraId="778EF916">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59323BB5">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二、联合体各方的合同金额占比，具体如下：</w:t>
      </w:r>
    </w:p>
    <w:p w14:paraId="487C5FC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1.牵头方（</w:t>
      </w:r>
      <w:r>
        <w:rPr>
          <w:rFonts w:hint="eastAsia" w:asciiTheme="minorEastAsia" w:hAnsiTheme="minorEastAsia" w:eastAsiaTheme="minorEastAsia" w:cstheme="minorEastAsia"/>
          <w:color w:val="auto"/>
          <w:sz w:val="24"/>
          <w:szCs w:val="24"/>
          <w:u w:val="single"/>
        </w:rPr>
        <w:t xml:space="preserve"> 全称</w:t>
      </w:r>
      <w:r>
        <w:rPr>
          <w:rFonts w:hint="eastAsia" w:asciiTheme="minorEastAsia" w:hAnsiTheme="minorEastAsia" w:eastAsiaTheme="minorEastAsia" w:cstheme="minorEastAsia"/>
          <w:color w:val="auto"/>
          <w:sz w:val="24"/>
          <w:szCs w:val="24"/>
        </w:rPr>
        <w:t xml:space="preserve"> ）的合同金额占合同总额的</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w:t>
      </w:r>
    </w:p>
    <w:p w14:paraId="3FCAA03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2.成员方：</w:t>
      </w:r>
    </w:p>
    <w:p w14:paraId="2B0986D6">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r>
        <w:rPr>
          <w:rFonts w:hint="eastAsia" w:asciiTheme="minorEastAsia" w:hAnsiTheme="minorEastAsia" w:eastAsiaTheme="minorEastAsia" w:cstheme="minorEastAsia"/>
          <w:color w:val="auto"/>
          <w:sz w:val="24"/>
          <w:szCs w:val="24"/>
          <w:u w:val="single"/>
        </w:rPr>
        <w:t xml:space="preserve"> 成员1的全称 </w:t>
      </w:r>
      <w:r>
        <w:rPr>
          <w:rFonts w:hint="eastAsia" w:asciiTheme="minorEastAsia" w:hAnsiTheme="minorEastAsia" w:eastAsiaTheme="minorEastAsia" w:cstheme="minorEastAsia"/>
          <w:color w:val="auto"/>
          <w:sz w:val="24"/>
          <w:szCs w:val="24"/>
        </w:rPr>
        <w:t>）的合同金额占合同总额的</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w:t>
      </w:r>
    </w:p>
    <w:p w14:paraId="0E78AEC4">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7914A535">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三、联合体各方约定：</w:t>
      </w:r>
    </w:p>
    <w:p w14:paraId="532AB7C6">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1、由</w:t>
      </w:r>
      <w:r>
        <w:rPr>
          <w:rFonts w:hint="eastAsia" w:asciiTheme="minorEastAsia" w:hAnsiTheme="minorEastAsia" w:eastAsiaTheme="minorEastAsia" w:cstheme="minorEastAsia"/>
          <w:color w:val="auto"/>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45836D74">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2、联合体各方约定由</w:t>
      </w:r>
      <w:r>
        <w:rPr>
          <w:rFonts w:hint="eastAsia" w:asciiTheme="minorEastAsia" w:hAnsiTheme="minorEastAsia" w:eastAsiaTheme="minorEastAsia" w:cstheme="minorEastAsia"/>
          <w:color w:val="auto"/>
          <w:sz w:val="24"/>
          <w:szCs w:val="24"/>
          <w:u w:val="single"/>
        </w:rPr>
        <w:t>（填写“牵头方的全称”）代表联合体办理投标保证金事宜。</w:t>
      </w:r>
    </w:p>
    <w:p w14:paraId="2CDC9D3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A1ABE86">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4F20F72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五、本协议自签署之日起生效，政府采购合同履行完毕后自动失效。</w:t>
      </w:r>
    </w:p>
    <w:p w14:paraId="10D753F6">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六、本协议一式</w:t>
      </w:r>
      <w:r>
        <w:rPr>
          <w:rFonts w:hint="eastAsia" w:asciiTheme="minorEastAsia" w:hAnsiTheme="minorEastAsia" w:eastAsiaTheme="minorEastAsia" w:cstheme="minorEastAsia"/>
          <w:color w:val="auto"/>
          <w:sz w:val="24"/>
          <w:szCs w:val="24"/>
          <w:u w:val="single"/>
        </w:rPr>
        <w:t>（填写具体份数）</w:t>
      </w:r>
      <w:r>
        <w:rPr>
          <w:rFonts w:hint="eastAsia" w:asciiTheme="minorEastAsia" w:hAnsiTheme="minorEastAsia" w:eastAsiaTheme="minorEastAsia" w:cstheme="minorEastAsia"/>
          <w:color w:val="auto"/>
          <w:sz w:val="24"/>
          <w:szCs w:val="24"/>
        </w:rPr>
        <w:t>份，联合体各方各执一份，电子投标文件中提交一份。</w:t>
      </w:r>
    </w:p>
    <w:p w14:paraId="640D5DE8">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（以下无正文）</w:t>
      </w:r>
    </w:p>
    <w:p w14:paraId="104F567E">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牵头方：</w:t>
      </w:r>
      <w:r>
        <w:rPr>
          <w:rFonts w:hint="eastAsia" w:asciiTheme="minorEastAsia" w:hAnsiTheme="minorEastAsia" w:eastAsiaTheme="minorEastAsia" w:cstheme="minorEastAsia"/>
          <w:color w:val="auto"/>
          <w:sz w:val="24"/>
          <w:szCs w:val="24"/>
          <w:u w:val="single"/>
        </w:rPr>
        <w:t>（全称并加盖单位公章）</w:t>
      </w:r>
    </w:p>
    <w:p w14:paraId="6EFA0764">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法定代表人或其委托代理人：</w:t>
      </w:r>
      <w:r>
        <w:rPr>
          <w:rFonts w:hint="eastAsia" w:asciiTheme="minorEastAsia" w:hAnsiTheme="minorEastAsia" w:eastAsiaTheme="minorEastAsia" w:cstheme="minorEastAsia"/>
          <w:color w:val="auto"/>
          <w:sz w:val="24"/>
          <w:szCs w:val="24"/>
          <w:u w:val="single"/>
        </w:rPr>
        <w:t xml:space="preserve"> （签字或盖章）</w:t>
      </w:r>
    </w:p>
    <w:p w14:paraId="5F5E87B6">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成员一：</w:t>
      </w:r>
      <w:r>
        <w:rPr>
          <w:rFonts w:hint="eastAsia" w:asciiTheme="minorEastAsia" w:hAnsiTheme="minorEastAsia" w:eastAsiaTheme="minorEastAsia" w:cstheme="minorEastAsia"/>
          <w:color w:val="auto"/>
          <w:sz w:val="24"/>
          <w:szCs w:val="24"/>
          <w:u w:val="single"/>
        </w:rPr>
        <w:t>（全称并加盖成员一的单位公章）</w:t>
      </w:r>
    </w:p>
    <w:p w14:paraId="4E419643">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法定代表人或其委托代理人：</w:t>
      </w:r>
      <w:r>
        <w:rPr>
          <w:rFonts w:hint="eastAsia" w:asciiTheme="minorEastAsia" w:hAnsiTheme="minorEastAsia" w:eastAsiaTheme="minorEastAsia" w:cstheme="minorEastAsia"/>
          <w:color w:val="auto"/>
          <w:sz w:val="24"/>
          <w:szCs w:val="24"/>
          <w:u w:val="single"/>
        </w:rPr>
        <w:t xml:space="preserve"> （签字或盖章）</w:t>
      </w:r>
    </w:p>
    <w:p w14:paraId="22250796">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3AEC5AA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成员**：</w:t>
      </w:r>
      <w:r>
        <w:rPr>
          <w:rFonts w:hint="eastAsia" w:asciiTheme="minorEastAsia" w:hAnsiTheme="minorEastAsia" w:eastAsiaTheme="minorEastAsia" w:cstheme="minorEastAsia"/>
          <w:color w:val="auto"/>
          <w:sz w:val="24"/>
          <w:szCs w:val="24"/>
          <w:u w:val="single"/>
        </w:rPr>
        <w:t>（全称并加盖成员**的单位公章）</w:t>
      </w:r>
    </w:p>
    <w:p w14:paraId="0F069F4F">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法定代表人或其委托代理人：</w:t>
      </w:r>
      <w:r>
        <w:rPr>
          <w:rFonts w:hint="eastAsia" w:asciiTheme="minorEastAsia" w:hAnsiTheme="minorEastAsia" w:eastAsiaTheme="minorEastAsia" w:cstheme="minorEastAsia"/>
          <w:color w:val="auto"/>
          <w:sz w:val="24"/>
          <w:szCs w:val="24"/>
          <w:u w:val="single"/>
        </w:rPr>
        <w:t xml:space="preserve"> （签字或盖章）</w:t>
      </w:r>
    </w:p>
    <w:p w14:paraId="58E0E496">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签署日期：</w:t>
      </w:r>
      <w:r>
        <w:rPr>
          <w:rFonts w:hint="eastAsia" w:asciiTheme="minorEastAsia" w:hAnsiTheme="minorEastAsia" w:eastAsiaTheme="minorEastAsia" w:cstheme="minorEastAsia"/>
          <w:color w:val="auto"/>
          <w:sz w:val="24"/>
          <w:szCs w:val="24"/>
          <w:u w:val="single"/>
        </w:rPr>
        <w:t>　　年　　月　　日</w:t>
      </w:r>
    </w:p>
    <w:p w14:paraId="173E689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643AC0E8">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1、招标文件接受联合体投标且投标人为联合体的，投标人应提供本协议；否则无须提供。</w:t>
      </w:r>
    </w:p>
    <w:p w14:paraId="47C23DA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2、本协议由委托代理人签字或盖章的，应按照本章载明的格式提供“单位授权书”。</w:t>
      </w:r>
    </w:p>
    <w:p w14:paraId="52FAA0A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3、在以联合体形式落实中小企业预留份额项目中，投标人除了要提供《中小企业声明函》，还需提供本协议。</w:t>
      </w:r>
    </w:p>
    <w:p w14:paraId="666B842A">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632B0075">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二-6分包意向协议（若有）</w:t>
      </w:r>
    </w:p>
    <w:p w14:paraId="09BA4EF9">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甲方（总包方）：</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（即本项目的投标人）</w:t>
      </w:r>
    </w:p>
    <w:p w14:paraId="3268AE2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乙方（分包方）：</w:t>
      </w:r>
      <w:r>
        <w:rPr>
          <w:rFonts w:hint="eastAsia" w:asciiTheme="minorEastAsia" w:hAnsiTheme="minorEastAsia" w:eastAsiaTheme="minorEastAsia" w:cstheme="minorEastAsia"/>
          <w:color w:val="auto"/>
          <w:sz w:val="24"/>
          <w:szCs w:val="24"/>
          <w:u w:val="single"/>
        </w:rPr>
        <w:t>　　　　　　　</w:t>
      </w:r>
    </w:p>
    <w:p w14:paraId="2C8C0DB6">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兹有甲方参加</w:t>
      </w:r>
      <w:r>
        <w:rPr>
          <w:rFonts w:hint="eastAsia" w:asciiTheme="minorEastAsia" w:hAnsiTheme="minorEastAsia" w:eastAsiaTheme="minorEastAsia" w:cstheme="minorEastAsia"/>
          <w:color w:val="auto"/>
          <w:sz w:val="24"/>
          <w:szCs w:val="24"/>
          <w:u w:val="single"/>
        </w:rPr>
        <w:t>（填写“项目名称”）</w:t>
      </w:r>
      <w:r>
        <w:rPr>
          <w:rFonts w:hint="eastAsia" w:asciiTheme="minorEastAsia" w:hAnsiTheme="minorEastAsia" w:eastAsiaTheme="minorEastAsia" w:cstheme="minorEastAsia"/>
          <w:color w:val="auto"/>
          <w:sz w:val="24"/>
          <w:szCs w:val="24"/>
        </w:rPr>
        <w:t xml:space="preserve"> 项目（项目编号：</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）的政府采购活动。甲方期望将采购项目的部分采购标的分包给乙方完成，而乙方保证能够向甲方提供本协议项下的采购标的，甲、乙双方就合同分包的有关事宜达成下列协议：</w:t>
      </w:r>
    </w:p>
    <w:p w14:paraId="1369515B">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一、分包标的</w:t>
      </w:r>
    </w:p>
    <w:p w14:paraId="2B9BEFE6">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（根据双方的意向填写，可以是表格或文字描述）。</w:t>
      </w:r>
    </w:p>
    <w:p w14:paraId="4EF6209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二、分包合同金额占比</w:t>
      </w:r>
    </w:p>
    <w:p w14:paraId="76A813B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分包合同价占投标总价的比例：</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w:t>
      </w:r>
    </w:p>
    <w:p w14:paraId="16EBD65B">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三、其他条款</w:t>
      </w:r>
    </w:p>
    <w:p w14:paraId="7058BC2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6B31E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73AC7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w:t>
            </w:r>
          </w:p>
        </w:tc>
        <w:tc>
          <w:tcPr>
            <w:tcW w:w="4153" w:type="dxa"/>
          </w:tcPr>
          <w:p w14:paraId="7D62C7A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w:t>
            </w:r>
          </w:p>
        </w:tc>
      </w:tr>
      <w:tr w14:paraId="08EAE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946DA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住所：</w:t>
            </w:r>
          </w:p>
        </w:tc>
        <w:tc>
          <w:tcPr>
            <w:tcW w:w="4153" w:type="dxa"/>
          </w:tcPr>
          <w:p w14:paraId="1A9526A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住所：</w:t>
            </w:r>
          </w:p>
        </w:tc>
      </w:tr>
      <w:tr w14:paraId="7EA7D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E7F16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单位负责人或委托代理人：</w:t>
            </w:r>
          </w:p>
        </w:tc>
        <w:tc>
          <w:tcPr>
            <w:tcW w:w="4153" w:type="dxa"/>
          </w:tcPr>
          <w:p w14:paraId="654A420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单位负责人或委托代理人：</w:t>
            </w:r>
          </w:p>
        </w:tc>
      </w:tr>
      <w:tr w14:paraId="7E3AE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799222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联系方法：</w:t>
            </w:r>
          </w:p>
        </w:tc>
        <w:tc>
          <w:tcPr>
            <w:tcW w:w="4153" w:type="dxa"/>
          </w:tcPr>
          <w:p w14:paraId="0C40336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联系方法：</w:t>
            </w:r>
          </w:p>
        </w:tc>
      </w:tr>
      <w:tr w14:paraId="5D085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CFD91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开户银行：</w:t>
            </w:r>
          </w:p>
        </w:tc>
        <w:tc>
          <w:tcPr>
            <w:tcW w:w="4153" w:type="dxa"/>
          </w:tcPr>
          <w:p w14:paraId="1956951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开户银行：</w:t>
            </w:r>
          </w:p>
        </w:tc>
      </w:tr>
      <w:tr w14:paraId="6EF8A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94AFC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账号：</w:t>
            </w:r>
          </w:p>
        </w:tc>
        <w:tc>
          <w:tcPr>
            <w:tcW w:w="4153" w:type="dxa"/>
          </w:tcPr>
          <w:p w14:paraId="4F9C56B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账号：</w:t>
            </w:r>
          </w:p>
        </w:tc>
      </w:tr>
      <w:tr w14:paraId="53017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283ED65">
            <w:pPr>
              <w:pStyle w:val="10"/>
              <w:spacing w:line="360" w:lineRule="auto"/>
              <w:ind w:firstLine="96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签订地点：</w:t>
            </w:r>
            <w:r>
              <w:rPr>
                <w:rFonts w:hint="eastAsia" w:asciiTheme="minorEastAsia" w:hAnsiTheme="minorEastAsia" w:eastAsiaTheme="minorEastAsia" w:cstheme="minorEastAsia"/>
                <w:color w:val="auto"/>
                <w:sz w:val="24"/>
                <w:szCs w:val="24"/>
                <w:u w:val="single"/>
              </w:rPr>
              <w:t>　　　　　　　　　　</w:t>
            </w:r>
          </w:p>
          <w:p w14:paraId="4A50501B">
            <w:pPr>
              <w:pStyle w:val="10"/>
              <w:spacing w:line="360" w:lineRule="auto"/>
              <w:ind w:firstLine="96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签约日期：</w:t>
            </w:r>
            <w:r>
              <w:rPr>
                <w:rFonts w:hint="eastAsia" w:asciiTheme="minorEastAsia" w:hAnsiTheme="minorEastAsia" w:eastAsiaTheme="minorEastAsia" w:cstheme="minorEastAsia"/>
                <w:color w:val="auto"/>
                <w:sz w:val="24"/>
                <w:szCs w:val="24"/>
                <w:u w:val="single"/>
              </w:rPr>
              <w:t>　　年　　月　　日</w:t>
            </w:r>
          </w:p>
        </w:tc>
      </w:tr>
    </w:tbl>
    <w:p w14:paraId="1BFB34B1">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47F726BB">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1.招标文件接受合同分包且投标人拟将合同分包的，应提供本协议；否则无须提供。</w:t>
      </w:r>
    </w:p>
    <w:p w14:paraId="250F2AA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2.本协议由委托代理人签字或盖章的，应按照本章载明的格式提供“单位授权书”。</w:t>
      </w:r>
    </w:p>
    <w:p w14:paraId="018DCC48">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3.在以合同分包形式落实中小企业预留份额项目中，投标人除了要提供《中小企业声明函》，还需提供本协议。</w:t>
      </w:r>
    </w:p>
    <w:p w14:paraId="6743E861">
      <w:pPr>
        <w:pStyle w:val="10"/>
        <w:spacing w:line="360" w:lineRule="auto"/>
        <w:ind w:firstLine="9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0A8BE39D">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二-7其他资格证明文件（若有）</w:t>
      </w:r>
    </w:p>
    <w:p w14:paraId="69FCDE84">
      <w:pPr>
        <w:pStyle w:val="10"/>
        <w:spacing w:line="360" w:lineRule="auto"/>
        <w:ind w:firstLine="960"/>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二-7-①招标文件规定的其他资格证明文件（若有）</w:t>
      </w:r>
    </w:p>
    <w:p w14:paraId="236FCF35">
      <w:pPr>
        <w:pStyle w:val="10"/>
        <w:spacing w:line="360" w:lineRule="auto"/>
        <w:ind w:firstLine="4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编制说明</w:t>
      </w:r>
    </w:p>
    <w:p w14:paraId="1EB41AA9">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除招标文件另有规定外，招标文件要求提交的除前述资格证明文件外的其他资格证明文件（若有）加盖投标人的单位公章后应在此项下提交。</w:t>
      </w:r>
    </w:p>
    <w:p w14:paraId="65234833">
      <w:pPr>
        <w:pStyle w:val="1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2572310A">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三、投标保证金</w:t>
      </w:r>
    </w:p>
    <w:p w14:paraId="3FFDCEF2">
      <w:pPr>
        <w:pStyle w:val="10"/>
        <w:spacing w:line="360" w:lineRule="auto"/>
        <w:ind w:firstLine="4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编制说明</w:t>
      </w:r>
    </w:p>
    <w:p w14:paraId="759ED336">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1、在此项下提交的“投标保证金”材料可使用转账凭证复印件或从福建省政府采购网上公开信息系统中下载的有关原始页面的打印件。</w:t>
      </w:r>
    </w:p>
    <w:p w14:paraId="41677200">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2、投标保证金是否已提交的认定按照招标文件第三章规定执行。</w:t>
      </w:r>
    </w:p>
    <w:p w14:paraId="3D7A5619">
      <w:pPr>
        <w:pStyle w:val="1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58405C1A">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封面格式(报价部分)</w:t>
      </w:r>
    </w:p>
    <w:p w14:paraId="439E75A3">
      <w:pPr>
        <w:pStyle w:val="10"/>
        <w:spacing w:line="360" w:lineRule="auto"/>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福建省政府采购投标文件</w:t>
      </w:r>
    </w:p>
    <w:p w14:paraId="6A63AF6A">
      <w:pPr>
        <w:pStyle w:val="10"/>
        <w:spacing w:line="360" w:lineRule="auto"/>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（报价部分）</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p>
    <w:p w14:paraId="58C46BA8">
      <w:pPr>
        <w:pStyle w:val="10"/>
        <w:spacing w:line="360" w:lineRule="auto"/>
        <w:jc w:val="center"/>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（填写正本或副本）</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p>
    <w:p w14:paraId="590DE9C9">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项目名称：（由投标人填写）</w:t>
      </w:r>
    </w:p>
    <w:p w14:paraId="1DA726D6">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备案编号：（由投标人填写）</w:t>
      </w:r>
    </w:p>
    <w:p w14:paraId="041CC580">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项目编号：（由投标人填写）</w:t>
      </w:r>
    </w:p>
    <w:p w14:paraId="753E7956">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所投采购包：（由投标人填写）</w:t>
      </w:r>
    </w:p>
    <w:p w14:paraId="21F7FC80">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投标人：（填写“全称”）</w:t>
      </w:r>
    </w:p>
    <w:p w14:paraId="367208DD">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（由投标人填写）年（由投标人填写）月</w:t>
      </w:r>
    </w:p>
    <w:p w14:paraId="21E4BA48">
      <w:pPr>
        <w:pStyle w:val="1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326DAC18">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索引</w:t>
      </w:r>
    </w:p>
    <w:p w14:paraId="35DF7A6E">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一、开标（报价）一览表</w:t>
      </w:r>
    </w:p>
    <w:p w14:paraId="1B0935A0">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二、投标（响应）报价明细表</w:t>
      </w:r>
    </w:p>
    <w:p w14:paraId="5BEA6754">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三、招标文件规定的价格扣除证明材料（若有）</w:t>
      </w:r>
    </w:p>
    <w:p w14:paraId="568A0E00">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11585647">
      <w:pPr>
        <w:pStyle w:val="10"/>
        <w:spacing w:line="360" w:lineRule="auto"/>
        <w:jc w:val="left"/>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开标（报价）一览表</w:t>
      </w:r>
    </w:p>
    <w:p w14:paraId="525EA55E">
      <w:pPr>
        <w:pStyle w:val="10"/>
        <w:spacing w:line="360" w:lineRule="auto"/>
        <w:ind w:right="165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项目编号：[350001]ZHT[GK]2026002</w:t>
      </w:r>
    </w:p>
    <w:p w14:paraId="4016989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项目名称：福建省公安厅信息化维保服务项目</w:t>
      </w:r>
    </w:p>
    <w:p w14:paraId="01A649E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采购包：1(基础环境运维服务)</w:t>
      </w:r>
    </w:p>
    <w:p w14:paraId="57CF0DE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投标人（供应商）名称：</w:t>
      </w:r>
    </w:p>
    <w:p w14:paraId="38FDD79A">
      <w:pPr>
        <w:pStyle w:val="10"/>
        <w:spacing w:line="360" w:lineRule="auto"/>
        <w:jc w:val="left"/>
        <w:rPr>
          <w:rFonts w:hint="eastAsia" w:asciiTheme="minorEastAsia" w:hAnsiTheme="minorEastAsia" w:eastAsiaTheme="minorEastAsia" w:cstheme="minorEastAsia"/>
          <w:color w:val="auto"/>
          <w:sz w:val="24"/>
          <w:szCs w:val="24"/>
        </w:rPr>
      </w:pPr>
    </w:p>
    <w:tbl>
      <w:tblPr>
        <w:tblStyle w:val="6"/>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30776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EFA3F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序号</w:t>
            </w:r>
          </w:p>
        </w:tc>
        <w:tc>
          <w:tcPr>
            <w:tcW w:w="1661" w:type="dxa"/>
          </w:tcPr>
          <w:p w14:paraId="32A026E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报价内容</w:t>
            </w:r>
          </w:p>
        </w:tc>
        <w:tc>
          <w:tcPr>
            <w:tcW w:w="1661" w:type="dxa"/>
          </w:tcPr>
          <w:p w14:paraId="742101A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最高限价</w:t>
            </w:r>
          </w:p>
        </w:tc>
        <w:tc>
          <w:tcPr>
            <w:tcW w:w="1661" w:type="dxa"/>
          </w:tcPr>
          <w:p w14:paraId="386307F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响应报价</w:t>
            </w:r>
          </w:p>
        </w:tc>
        <w:tc>
          <w:tcPr>
            <w:tcW w:w="1661" w:type="dxa"/>
          </w:tcPr>
          <w:p w14:paraId="1431F63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价款形式</w:t>
            </w:r>
          </w:p>
        </w:tc>
      </w:tr>
      <w:tr w14:paraId="5526C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667D77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w:t>
            </w:r>
          </w:p>
        </w:tc>
        <w:tc>
          <w:tcPr>
            <w:tcW w:w="1661" w:type="dxa"/>
          </w:tcPr>
          <w:p w14:paraId="5722C31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基础环境运维服务</w:t>
            </w:r>
          </w:p>
        </w:tc>
        <w:tc>
          <w:tcPr>
            <w:tcW w:w="1661" w:type="dxa"/>
          </w:tcPr>
          <w:p w14:paraId="472DC60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26867600  元</w:t>
            </w:r>
          </w:p>
        </w:tc>
        <w:tc>
          <w:tcPr>
            <w:tcW w:w="1661" w:type="dxa"/>
          </w:tcPr>
          <w:p w14:paraId="5BE6BC2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「汇总引用」  元</w:t>
            </w:r>
          </w:p>
        </w:tc>
        <w:tc>
          <w:tcPr>
            <w:tcW w:w="1661" w:type="dxa"/>
          </w:tcPr>
          <w:p w14:paraId="4839468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总价</w:t>
            </w:r>
          </w:p>
        </w:tc>
      </w:tr>
    </w:tbl>
    <w:p w14:paraId="01B3B37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备注：无</w:t>
      </w:r>
    </w:p>
    <w:p w14:paraId="1ED1591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     年     月     日</w:t>
      </w:r>
    </w:p>
    <w:p w14:paraId="34B22DB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签章：                     </w:t>
      </w:r>
    </w:p>
    <w:p w14:paraId="330BB444">
      <w:pPr>
        <w:pStyle w:val="10"/>
        <w:spacing w:line="360" w:lineRule="auto"/>
        <w:jc w:val="left"/>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投标（响应）报价明细表</w:t>
      </w:r>
    </w:p>
    <w:p w14:paraId="02E3897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项目编号：[350001]ZHT[GK]2026002</w:t>
      </w:r>
    </w:p>
    <w:p w14:paraId="174C57F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项目名称：福建省公安厅信息化维保服务项目</w:t>
      </w:r>
    </w:p>
    <w:p w14:paraId="38A4355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采购包：基础环境运维服务</w:t>
      </w:r>
    </w:p>
    <w:p w14:paraId="06EB3E0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w:t>
      </w:r>
    </w:p>
    <w:p w14:paraId="3600CA5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福建省公安厅信息化维保服务项目</w:t>
      </w:r>
    </w:p>
    <w:p w14:paraId="3477B71C">
      <w:pPr>
        <w:pStyle w:val="10"/>
        <w:spacing w:line="360" w:lineRule="auto"/>
        <w:jc w:val="left"/>
        <w:rPr>
          <w:rFonts w:hint="eastAsia" w:asciiTheme="minorEastAsia" w:hAnsiTheme="minorEastAsia" w:eastAsiaTheme="minorEastAsia" w:cstheme="minorEastAsia"/>
          <w:color w:val="auto"/>
          <w:sz w:val="24"/>
          <w:szCs w:val="24"/>
        </w:rPr>
      </w:pPr>
    </w:p>
    <w:tbl>
      <w:tblPr>
        <w:tblStyle w:val="6"/>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6"/>
        <w:gridCol w:w="697"/>
        <w:gridCol w:w="720"/>
        <w:gridCol w:w="720"/>
        <w:gridCol w:w="720"/>
        <w:gridCol w:w="720"/>
        <w:gridCol w:w="1176"/>
        <w:gridCol w:w="720"/>
        <w:gridCol w:w="936"/>
        <w:gridCol w:w="697"/>
        <w:gridCol w:w="720"/>
      </w:tblGrid>
      <w:tr w14:paraId="3BFD2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tcPr>
          <w:p w14:paraId="554C589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序号</w:t>
            </w:r>
          </w:p>
        </w:tc>
        <w:tc>
          <w:tcPr>
            <w:tcW w:w="697" w:type="dxa"/>
          </w:tcPr>
          <w:p w14:paraId="44D3E27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服务名称</w:t>
            </w:r>
          </w:p>
        </w:tc>
        <w:tc>
          <w:tcPr>
            <w:tcW w:w="720" w:type="dxa"/>
          </w:tcPr>
          <w:p w14:paraId="35CAFA8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服务范围</w:t>
            </w:r>
          </w:p>
        </w:tc>
        <w:tc>
          <w:tcPr>
            <w:tcW w:w="720" w:type="dxa"/>
          </w:tcPr>
          <w:p w14:paraId="08AC03E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服务要求</w:t>
            </w:r>
          </w:p>
        </w:tc>
        <w:tc>
          <w:tcPr>
            <w:tcW w:w="720" w:type="dxa"/>
          </w:tcPr>
          <w:p w14:paraId="192325A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服务时间</w:t>
            </w:r>
          </w:p>
        </w:tc>
        <w:tc>
          <w:tcPr>
            <w:tcW w:w="720" w:type="dxa"/>
          </w:tcPr>
          <w:p w14:paraId="3B18AEB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服务标准</w:t>
            </w:r>
          </w:p>
        </w:tc>
        <w:tc>
          <w:tcPr>
            <w:tcW w:w="1176" w:type="dxa"/>
          </w:tcPr>
          <w:p w14:paraId="596ADFF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最高限价</w:t>
            </w:r>
          </w:p>
        </w:tc>
        <w:tc>
          <w:tcPr>
            <w:tcW w:w="720" w:type="dxa"/>
          </w:tcPr>
          <w:p w14:paraId="65BC4BF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单价</w:t>
            </w:r>
          </w:p>
        </w:tc>
        <w:tc>
          <w:tcPr>
            <w:tcW w:w="936" w:type="dxa"/>
          </w:tcPr>
          <w:p w14:paraId="67E57C0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数量</w:t>
            </w:r>
          </w:p>
        </w:tc>
        <w:tc>
          <w:tcPr>
            <w:tcW w:w="697" w:type="dxa"/>
          </w:tcPr>
          <w:p w14:paraId="22AB700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计量单位</w:t>
            </w:r>
          </w:p>
        </w:tc>
        <w:tc>
          <w:tcPr>
            <w:tcW w:w="720" w:type="dxa"/>
          </w:tcPr>
          <w:p w14:paraId="51B34E7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总价</w:t>
            </w:r>
          </w:p>
        </w:tc>
      </w:tr>
      <w:tr w14:paraId="46818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tcPr>
          <w:p w14:paraId="26B32F0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w:t>
            </w:r>
          </w:p>
        </w:tc>
        <w:tc>
          <w:tcPr>
            <w:tcW w:w="697" w:type="dxa"/>
          </w:tcPr>
          <w:p w14:paraId="4943EE8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福建省公安厅信息化维保服务项目</w:t>
            </w:r>
          </w:p>
        </w:tc>
        <w:tc>
          <w:tcPr>
            <w:tcW w:w="720" w:type="dxa"/>
          </w:tcPr>
          <w:p w14:paraId="18D75B9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{供应商响应}</w:t>
            </w:r>
          </w:p>
        </w:tc>
        <w:tc>
          <w:tcPr>
            <w:tcW w:w="720" w:type="dxa"/>
          </w:tcPr>
          <w:p w14:paraId="334C462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{供应商响应}</w:t>
            </w:r>
          </w:p>
        </w:tc>
        <w:tc>
          <w:tcPr>
            <w:tcW w:w="720" w:type="dxa"/>
          </w:tcPr>
          <w:p w14:paraId="52954C0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{供应商响应}</w:t>
            </w:r>
          </w:p>
        </w:tc>
        <w:tc>
          <w:tcPr>
            <w:tcW w:w="720" w:type="dxa"/>
          </w:tcPr>
          <w:p w14:paraId="5C701E2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{供应商响应}</w:t>
            </w:r>
          </w:p>
        </w:tc>
        <w:tc>
          <w:tcPr>
            <w:tcW w:w="1176" w:type="dxa"/>
          </w:tcPr>
          <w:p w14:paraId="3D1CC08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26867600  元</w:t>
            </w:r>
          </w:p>
        </w:tc>
        <w:tc>
          <w:tcPr>
            <w:tcW w:w="720" w:type="dxa"/>
          </w:tcPr>
          <w:p w14:paraId="002FFD6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{=总价/数量}  元</w:t>
            </w:r>
          </w:p>
        </w:tc>
        <w:tc>
          <w:tcPr>
            <w:tcW w:w="936" w:type="dxa"/>
          </w:tcPr>
          <w:p w14:paraId="11C76F8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1.0000</w:t>
            </w:r>
          </w:p>
        </w:tc>
        <w:tc>
          <w:tcPr>
            <w:tcW w:w="697" w:type="dxa"/>
          </w:tcPr>
          <w:p w14:paraId="4307C58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项</w:t>
            </w:r>
          </w:p>
        </w:tc>
        <w:tc>
          <w:tcPr>
            <w:tcW w:w="720" w:type="dxa"/>
          </w:tcPr>
          <w:p w14:paraId="256F618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{供应商响应}  元</w:t>
            </w:r>
          </w:p>
        </w:tc>
      </w:tr>
    </w:tbl>
    <w:p w14:paraId="63A1102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p>
    <w:p w14:paraId="4EC4D67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备注：无</w:t>
      </w:r>
    </w:p>
    <w:p w14:paraId="1E81C7D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     年     月     日</w:t>
      </w:r>
    </w:p>
    <w:p w14:paraId="775590A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签章：                     </w:t>
      </w:r>
    </w:p>
    <w:p w14:paraId="6F113638">
      <w:pPr>
        <w:pStyle w:val="1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0063D2F8">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三、招标文件规定的价格扣除证明材料（若有）</w:t>
      </w:r>
    </w:p>
    <w:p w14:paraId="23B72AB3">
      <w:pPr>
        <w:pStyle w:val="10"/>
        <w:spacing w:line="360" w:lineRule="auto"/>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三-1优先类节能产品、环境标志产品价格扣除证明材料（若有）</w:t>
      </w:r>
    </w:p>
    <w:p w14:paraId="5D3071E9">
      <w:pPr>
        <w:pStyle w:val="10"/>
        <w:spacing w:line="360" w:lineRule="auto"/>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三-1-①优先类节能产品、环境标志产品统计表（价格扣除适用，若有）</w:t>
      </w:r>
    </w:p>
    <w:p w14:paraId="27A7322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u w:val="single"/>
        </w:rPr>
        <w:t>　　　　　　　　</w:t>
      </w:r>
    </w:p>
    <w:tbl>
      <w:tblPr>
        <w:tblStyle w:val="6"/>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14:paraId="7C1FD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DC81C5B">
            <w:pPr>
              <w:spacing w:line="360" w:lineRule="auto"/>
              <w:rPr>
                <w:rFonts w:hint="eastAsia" w:asciiTheme="minorEastAsia" w:hAnsiTheme="minorEastAsia" w:eastAsiaTheme="minorEastAsia" w:cstheme="minorEastAsia"/>
                <w:color w:val="auto"/>
                <w:sz w:val="24"/>
                <w:szCs w:val="24"/>
              </w:rPr>
            </w:pPr>
          </w:p>
        </w:tc>
        <w:tc>
          <w:tcPr>
            <w:tcW w:w="7122" w:type="dxa"/>
            <w:gridSpan w:val="4"/>
          </w:tcPr>
          <w:p w14:paraId="5760387E">
            <w:pPr>
              <w:pStyle w:val="1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本采购包内属于节能、环境标志产品情况</w:t>
            </w:r>
          </w:p>
        </w:tc>
      </w:tr>
      <w:tr w14:paraId="6F3DB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370F0B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w:t>
            </w:r>
          </w:p>
        </w:tc>
        <w:tc>
          <w:tcPr>
            <w:tcW w:w="1187" w:type="dxa"/>
          </w:tcPr>
          <w:p w14:paraId="1656F713">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品目号</w:t>
            </w:r>
          </w:p>
        </w:tc>
        <w:tc>
          <w:tcPr>
            <w:tcW w:w="1187" w:type="dxa"/>
          </w:tcPr>
          <w:p w14:paraId="22AA608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产品名称</w:t>
            </w:r>
          </w:p>
        </w:tc>
        <w:tc>
          <w:tcPr>
            <w:tcW w:w="1187" w:type="dxa"/>
          </w:tcPr>
          <w:p w14:paraId="2CB951D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认证种类</w:t>
            </w:r>
          </w:p>
        </w:tc>
      </w:tr>
      <w:tr w14:paraId="3FDFB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2AA8C98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87" w:type="dxa"/>
          </w:tcPr>
          <w:p w14:paraId="6FC4570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87" w:type="dxa"/>
          </w:tcPr>
          <w:p w14:paraId="50A43363">
            <w:pPr>
              <w:spacing w:line="360" w:lineRule="auto"/>
              <w:rPr>
                <w:rFonts w:hint="eastAsia" w:asciiTheme="minorEastAsia" w:hAnsiTheme="minorEastAsia" w:eastAsiaTheme="minorEastAsia" w:cstheme="minorEastAsia"/>
                <w:color w:val="auto"/>
                <w:sz w:val="24"/>
                <w:szCs w:val="24"/>
              </w:rPr>
            </w:pPr>
          </w:p>
        </w:tc>
        <w:tc>
          <w:tcPr>
            <w:tcW w:w="1187" w:type="dxa"/>
          </w:tcPr>
          <w:p w14:paraId="4486063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供应商自行填写种类，并上传证明附件以便评审查看</w:t>
            </w:r>
          </w:p>
        </w:tc>
      </w:tr>
      <w:tr w14:paraId="78CE2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502B292B">
            <w:pPr>
              <w:spacing w:line="360" w:lineRule="auto"/>
              <w:rPr>
                <w:rFonts w:hint="eastAsia" w:asciiTheme="minorEastAsia" w:hAnsiTheme="minorEastAsia" w:eastAsiaTheme="minorEastAsia" w:cstheme="minorEastAsia"/>
                <w:color w:val="auto"/>
                <w:sz w:val="24"/>
                <w:szCs w:val="24"/>
              </w:rPr>
            </w:pPr>
          </w:p>
        </w:tc>
        <w:tc>
          <w:tcPr>
            <w:tcW w:w="1187" w:type="dxa"/>
          </w:tcPr>
          <w:p w14:paraId="5DA672C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1ACF704B">
            <w:pPr>
              <w:pStyle w:val="10"/>
              <w:spacing w:line="360" w:lineRule="auto"/>
              <w:jc w:val="left"/>
              <w:rPr>
                <w:rFonts w:hint="eastAsia" w:asciiTheme="minorEastAsia" w:hAnsiTheme="minorEastAsia" w:eastAsiaTheme="minorEastAsia" w:cstheme="minorEastAsia"/>
                <w:color w:val="auto"/>
                <w:sz w:val="24"/>
                <w:szCs w:val="24"/>
              </w:rPr>
            </w:pPr>
          </w:p>
        </w:tc>
        <w:tc>
          <w:tcPr>
            <w:tcW w:w="1187" w:type="dxa"/>
          </w:tcPr>
          <w:p w14:paraId="6EAACCB0">
            <w:pPr>
              <w:spacing w:line="360" w:lineRule="auto"/>
              <w:rPr>
                <w:rFonts w:hint="eastAsia" w:asciiTheme="minorEastAsia" w:hAnsiTheme="minorEastAsia" w:eastAsiaTheme="minorEastAsia" w:cstheme="minorEastAsia"/>
                <w:color w:val="auto"/>
                <w:sz w:val="24"/>
                <w:szCs w:val="24"/>
              </w:rPr>
            </w:pPr>
          </w:p>
        </w:tc>
        <w:tc>
          <w:tcPr>
            <w:tcW w:w="1187" w:type="dxa"/>
          </w:tcPr>
          <w:p w14:paraId="6A576471">
            <w:pPr>
              <w:spacing w:line="360" w:lineRule="auto"/>
              <w:rPr>
                <w:rFonts w:hint="eastAsia" w:asciiTheme="minorEastAsia" w:hAnsiTheme="minorEastAsia" w:eastAsiaTheme="minorEastAsia" w:cstheme="minorEastAsia"/>
                <w:color w:val="auto"/>
                <w:sz w:val="24"/>
                <w:szCs w:val="24"/>
              </w:rPr>
            </w:pPr>
          </w:p>
        </w:tc>
      </w:tr>
      <w:tr w14:paraId="672C7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3293100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c>
          <w:tcPr>
            <w:tcW w:w="3561" w:type="dxa"/>
            <w:gridSpan w:val="3"/>
          </w:tcPr>
          <w:p w14:paraId="53B8782B">
            <w:pPr>
              <w:pStyle w:val="10"/>
              <w:spacing w:line="360" w:lineRule="auto"/>
              <w:jc w:val="left"/>
              <w:rPr>
                <w:rFonts w:hint="eastAsia" w:asciiTheme="minorEastAsia" w:hAnsiTheme="minorEastAsia" w:eastAsiaTheme="minorEastAsia" w:cstheme="minorEastAsia"/>
                <w:color w:val="auto"/>
                <w:sz w:val="24"/>
                <w:szCs w:val="24"/>
              </w:rPr>
            </w:pPr>
          </w:p>
        </w:tc>
      </w:tr>
    </w:tbl>
    <w:p w14:paraId="26F28B6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6E10EEF8">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1、对节能、环境标志产品计算价格扣除时，只依据电子投标（响应）文件“投标（响应）报价明细表”以及“优先类节能产品、环境标志产品证明材料（价格扣除适用，若有）。</w:t>
      </w:r>
    </w:p>
    <w:p w14:paraId="07B6E27B">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2、本表以采购包为单位，不同采购包请分别填写；同一采购包请按照其品目号顺序分别填写。</w:t>
      </w:r>
    </w:p>
    <w:p w14:paraId="300B8E3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3、具体统计、计算：</w:t>
      </w:r>
    </w:p>
    <w:p w14:paraId="33014581">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3.1若同一采购包内的单个或多个货物取得或同时取得节能、环境标志产品等两项或多项认证的，均按照单个货物对应一项认证的原则统计、计算1次。</w:t>
      </w:r>
    </w:p>
    <w:p w14:paraId="712A2B5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3.2计算结果若除不尽，可四舍五入保留到小数点后两位。</w:t>
      </w:r>
    </w:p>
    <w:p w14:paraId="70FF625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3.3投标人(供应商)按照采购文件要求认真统计、计算。</w:t>
      </w:r>
    </w:p>
    <w:p w14:paraId="4F404D74">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3.4若无节能、环境标志产品，不填写本表。</w:t>
      </w:r>
    </w:p>
    <w:p w14:paraId="7E328263">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3.5强制类节能产品不享受价格扣除。</w:t>
      </w:r>
    </w:p>
    <w:p w14:paraId="062F29A2">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5CA18FEB">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2F322FE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23389995">
      <w:pPr>
        <w:pStyle w:val="10"/>
        <w:spacing w:line="360" w:lineRule="auto"/>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三-1-②优先类节能产品、环境标志产品证明材料（价格扣除适用，若有）</w:t>
      </w:r>
    </w:p>
    <w:p w14:paraId="3AB76CBA">
      <w:pPr>
        <w:pStyle w:val="10"/>
        <w:spacing w:line="360" w:lineRule="auto"/>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三-2小型、微型企业产品等价格扣除证明材料（若有）</w:t>
      </w:r>
    </w:p>
    <w:p w14:paraId="052A3D55">
      <w:pPr>
        <w:pStyle w:val="10"/>
        <w:spacing w:line="360" w:lineRule="auto"/>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三-2-①中小企业声明函（价格扣除适用，若有）</w:t>
      </w:r>
    </w:p>
    <w:p w14:paraId="456F471D">
      <w:pPr>
        <w:pStyle w:val="10"/>
        <w:spacing w:line="360" w:lineRule="auto"/>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中小企业声明函（货物）</w:t>
      </w:r>
    </w:p>
    <w:p w14:paraId="35CA50D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szCs w:val="24"/>
          <w:u w:val="single"/>
        </w:rPr>
        <w:t>（单位名称）</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u w:val="single"/>
        </w:rPr>
        <w:t>（项目名称）</w:t>
      </w:r>
      <w:r>
        <w:rPr>
          <w:rFonts w:hint="eastAsia" w:asciiTheme="minorEastAsia" w:hAnsiTheme="minorEastAsia" w:eastAsiaTheme="minorEastAsia" w:cstheme="minorEastAsia"/>
          <w:color w:val="auto"/>
          <w:sz w:val="24"/>
          <w:szCs w:val="24"/>
        </w:rPr>
        <w:t>采购活动，提供的货物全部由符合政策要求的中小企业制造。相关企业（含联合体中的中小企业、签订分包意向协议的中小企业）的具体情况如下：</w:t>
      </w:r>
    </w:p>
    <w:p w14:paraId="22A4148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u w:val="single"/>
        </w:rPr>
        <w:t xml:space="preserve"> （标的名称） </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（采购文件中明确的所属行业）</w:t>
      </w:r>
      <w:r>
        <w:rPr>
          <w:rFonts w:hint="eastAsia" w:asciiTheme="minorEastAsia" w:hAnsiTheme="minorEastAsia" w:eastAsiaTheme="minorEastAsia" w:cstheme="minorEastAsia"/>
          <w:color w:val="auto"/>
          <w:sz w:val="24"/>
          <w:szCs w:val="24"/>
        </w:rPr>
        <w:t>行业；制造商为</w:t>
      </w:r>
      <w:r>
        <w:rPr>
          <w:rFonts w:hint="eastAsia" w:asciiTheme="minorEastAsia" w:hAnsiTheme="minorEastAsia" w:eastAsiaTheme="minorEastAsia" w:cstheme="minorEastAsia"/>
          <w:color w:val="auto"/>
          <w:sz w:val="24"/>
          <w:szCs w:val="24"/>
          <w:u w:val="single"/>
        </w:rPr>
        <w:t>（企业名称）</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w:t>
      </w:r>
      <w:r>
        <w:rPr>
          <w:rFonts w:hint="eastAsia" w:asciiTheme="minorEastAsia" w:hAnsiTheme="minorEastAsia" w:eastAsiaTheme="minorEastAsia" w:cstheme="minorEastAsia"/>
          <w:color w:val="auto"/>
          <w:sz w:val="24"/>
          <w:szCs w:val="24"/>
          <w:vertAlign w:val="superscript"/>
        </w:rPr>
        <w:t>1</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（中型企业、小型企业、微型企业）</w:t>
      </w:r>
      <w:r>
        <w:rPr>
          <w:rFonts w:hint="eastAsia" w:asciiTheme="minorEastAsia" w:hAnsiTheme="minorEastAsia" w:eastAsiaTheme="minorEastAsia" w:cstheme="minorEastAsia"/>
          <w:color w:val="auto"/>
          <w:sz w:val="24"/>
          <w:szCs w:val="24"/>
        </w:rPr>
        <w:t>；</w:t>
      </w:r>
    </w:p>
    <w:p w14:paraId="2CF8E819">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u w:val="single"/>
        </w:rPr>
        <w:t xml:space="preserve"> （标的名称） </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（采购文件中明确的所属行业）</w:t>
      </w:r>
      <w:r>
        <w:rPr>
          <w:rFonts w:hint="eastAsia" w:asciiTheme="minorEastAsia" w:hAnsiTheme="minorEastAsia" w:eastAsiaTheme="minorEastAsia" w:cstheme="minorEastAsia"/>
          <w:color w:val="auto"/>
          <w:sz w:val="24"/>
          <w:szCs w:val="24"/>
        </w:rPr>
        <w:t>行业；制造商为</w:t>
      </w:r>
      <w:r>
        <w:rPr>
          <w:rFonts w:hint="eastAsia" w:asciiTheme="minorEastAsia" w:hAnsiTheme="minorEastAsia" w:eastAsiaTheme="minorEastAsia" w:cstheme="minorEastAsia"/>
          <w:color w:val="auto"/>
          <w:sz w:val="24"/>
          <w:szCs w:val="24"/>
          <w:u w:val="single"/>
        </w:rPr>
        <w:t>（企业名称）</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万元，属于</w:t>
      </w:r>
      <w:r>
        <w:rPr>
          <w:rFonts w:hint="eastAsia" w:asciiTheme="minorEastAsia" w:hAnsiTheme="minorEastAsia" w:eastAsiaTheme="minorEastAsia" w:cstheme="minorEastAsia"/>
          <w:color w:val="auto"/>
          <w:sz w:val="24"/>
          <w:szCs w:val="24"/>
          <w:u w:val="single"/>
        </w:rPr>
        <w:t>（中型企业、小型企业、微型企业）</w:t>
      </w:r>
      <w:r>
        <w:rPr>
          <w:rFonts w:hint="eastAsia" w:asciiTheme="minorEastAsia" w:hAnsiTheme="minorEastAsia" w:eastAsiaTheme="minorEastAsia" w:cstheme="minorEastAsia"/>
          <w:color w:val="auto"/>
          <w:sz w:val="24"/>
          <w:szCs w:val="24"/>
        </w:rPr>
        <w:t>；</w:t>
      </w:r>
    </w:p>
    <w:p w14:paraId="4AEDE7CB">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32C924C8">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以上企业，不属于大企业的分支机构，不存在控股股东为大企业的情形，也不存在与大企业的负责人为同一人的情形。</w:t>
      </w:r>
    </w:p>
    <w:p w14:paraId="37553999">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本企业对上述声明内容的真实性负责。如有虚假，将依法承担相应责任。</w:t>
      </w:r>
    </w:p>
    <w:p w14:paraId="6D01387B">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0E147DA2">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58391F69">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43C77C73">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1、从业人员、营业收入、资产总额填报上一年度数据，无上一年度数据的新成立企业可不填报。</w:t>
      </w:r>
    </w:p>
    <w:p w14:paraId="4EA57680">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2FE607B">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2F99B2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58496774">
      <w:pPr>
        <w:pStyle w:val="10"/>
        <w:spacing w:line="360" w:lineRule="auto"/>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中小企业声明函（工程、服务）</w:t>
      </w:r>
    </w:p>
    <w:p w14:paraId="55458565">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szCs w:val="24"/>
          <w:u w:val="single"/>
        </w:rPr>
        <w:t>（单位名称）</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u w:val="single"/>
        </w:rPr>
        <w:t>（项目名称）</w:t>
      </w:r>
      <w:r>
        <w:rPr>
          <w:rFonts w:hint="eastAsia" w:asciiTheme="minorEastAsia" w:hAnsiTheme="minorEastAsia" w:eastAsiaTheme="minorEastAsia" w:cstheme="minorEastAsia"/>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4D6965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u w:val="single"/>
        </w:rPr>
        <w:t>（标的名称）</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（采购文件中明确的所属行业）</w:t>
      </w:r>
      <w:r>
        <w:rPr>
          <w:rFonts w:hint="eastAsia" w:asciiTheme="minorEastAsia" w:hAnsiTheme="minorEastAsia" w:eastAsiaTheme="minorEastAsia" w:cstheme="minorEastAsia"/>
          <w:color w:val="auto"/>
          <w:sz w:val="24"/>
          <w:szCs w:val="24"/>
        </w:rPr>
        <w:t>；承建（承接）企业为</w:t>
      </w:r>
      <w:r>
        <w:rPr>
          <w:rFonts w:hint="eastAsia" w:asciiTheme="minorEastAsia" w:hAnsiTheme="minorEastAsia" w:eastAsiaTheme="minorEastAsia" w:cstheme="minorEastAsia"/>
          <w:color w:val="auto"/>
          <w:sz w:val="24"/>
          <w:szCs w:val="24"/>
          <w:u w:val="single"/>
        </w:rPr>
        <w:t>（企业名称）</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w:t>
      </w:r>
      <w:r>
        <w:rPr>
          <w:rFonts w:hint="eastAsia" w:asciiTheme="minorEastAsia" w:hAnsiTheme="minorEastAsia" w:eastAsiaTheme="minorEastAsia" w:cstheme="minorEastAsia"/>
          <w:color w:val="auto"/>
          <w:sz w:val="24"/>
          <w:szCs w:val="24"/>
          <w:vertAlign w:val="superscript"/>
        </w:rPr>
        <w:t>1</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（中型企业、小型企业、微型企业）</w:t>
      </w:r>
      <w:r>
        <w:rPr>
          <w:rFonts w:hint="eastAsia" w:asciiTheme="minorEastAsia" w:hAnsiTheme="minorEastAsia" w:eastAsiaTheme="minorEastAsia" w:cstheme="minorEastAsia"/>
          <w:color w:val="auto"/>
          <w:sz w:val="24"/>
          <w:szCs w:val="24"/>
        </w:rPr>
        <w:t>；</w:t>
      </w:r>
    </w:p>
    <w:p w14:paraId="1B9FF30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u w:val="single"/>
        </w:rPr>
        <w:t>（标的名称）</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（采购文件中明确的所属行业）</w:t>
      </w:r>
      <w:r>
        <w:rPr>
          <w:rFonts w:hint="eastAsia" w:asciiTheme="minorEastAsia" w:hAnsiTheme="minorEastAsia" w:eastAsiaTheme="minorEastAsia" w:cstheme="minorEastAsia"/>
          <w:color w:val="auto"/>
          <w:sz w:val="24"/>
          <w:szCs w:val="24"/>
        </w:rPr>
        <w:t>；承建（承接）企业为</w:t>
      </w:r>
      <w:r>
        <w:rPr>
          <w:rFonts w:hint="eastAsia" w:asciiTheme="minorEastAsia" w:hAnsiTheme="minorEastAsia" w:eastAsiaTheme="minorEastAsia" w:cstheme="minorEastAsia"/>
          <w:color w:val="auto"/>
          <w:sz w:val="24"/>
          <w:szCs w:val="24"/>
          <w:u w:val="single"/>
        </w:rPr>
        <w:t>（企业名称）</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万元，属于</w:t>
      </w:r>
      <w:r>
        <w:rPr>
          <w:rFonts w:hint="eastAsia" w:asciiTheme="minorEastAsia" w:hAnsiTheme="minorEastAsia" w:eastAsiaTheme="minorEastAsia" w:cstheme="minorEastAsia"/>
          <w:color w:val="auto"/>
          <w:sz w:val="24"/>
          <w:szCs w:val="24"/>
          <w:u w:val="single"/>
        </w:rPr>
        <w:t>（中型企业、小型企业、微型企业）</w:t>
      </w:r>
      <w:r>
        <w:rPr>
          <w:rFonts w:hint="eastAsia" w:asciiTheme="minorEastAsia" w:hAnsiTheme="minorEastAsia" w:eastAsiaTheme="minorEastAsia" w:cstheme="minorEastAsia"/>
          <w:color w:val="auto"/>
          <w:sz w:val="24"/>
          <w:szCs w:val="24"/>
        </w:rPr>
        <w:t>；</w:t>
      </w:r>
    </w:p>
    <w:p w14:paraId="4A7D5BB5">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71177283">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以上企业，不属于大企业的分支机构，不存在控股股东为大企业的情形，也不存在与大企业的负责人为同一人的情形。</w:t>
      </w:r>
    </w:p>
    <w:p w14:paraId="35D3A41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本企业对上述声明内容的真实性负责。如有虚假，将依法承担相应责任。</w:t>
      </w:r>
    </w:p>
    <w:p w14:paraId="316D71F4">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5932AF4B">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387B2B3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4C3A6495">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1、从业人员、营业收入、资产总额填报上一年度数据，无上一年度数据的新成立企业可不填报。</w:t>
      </w:r>
    </w:p>
    <w:p w14:paraId="74A2243B">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DC89783">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36C3E56">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3DC34A85">
      <w:pPr>
        <w:pStyle w:val="10"/>
        <w:spacing w:line="360" w:lineRule="auto"/>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三-2-②小型、微型企业等证明材料（价格扣除适用，若有）</w:t>
      </w:r>
    </w:p>
    <w:p w14:paraId="0EC52E1B">
      <w:pPr>
        <w:pStyle w:val="10"/>
        <w:spacing w:line="360" w:lineRule="auto"/>
        <w:ind w:firstLine="4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编制说明</w:t>
      </w:r>
    </w:p>
    <w:p w14:paraId="3541B19B">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1、投标人为监狱企业的，根据其提供的由省级以上监狱管理局、戒毒管理局（含新疆生产建设兵团）出具的属于监狱企业的证明文件进行认定，监狱企业视同小型、微型企业。</w:t>
      </w:r>
    </w:p>
    <w:p w14:paraId="687561F4">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682D136D">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w:t>
      </w:r>
    </w:p>
    <w:p w14:paraId="242E968E">
      <w:pPr>
        <w:pStyle w:val="10"/>
        <w:spacing w:line="360" w:lineRule="auto"/>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残疾人福利性单位声明函（价格扣除适用，若有）</w:t>
      </w:r>
    </w:p>
    <w:p w14:paraId="51D6E6F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B44045E">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FD78C76">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）由本投标人承建的（填写“所投采购包、品目号”）工程</w:t>
      </w:r>
    </w:p>
    <w:p w14:paraId="33EB9D39">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）由本投标人承接的（填写“所投采购包、品目号”）服务；</w:t>
      </w:r>
    </w:p>
    <w:p w14:paraId="3766C04E">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本投标人对上述声明的真实性负责。如有虚假，将依法承担相应责任。</w:t>
      </w:r>
    </w:p>
    <w:p w14:paraId="20AFE6FF">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p w14:paraId="73261850">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1、请投标人按照实际情况编制填写本声明函，并在相应的（）中打“√”。</w:t>
      </w:r>
    </w:p>
    <w:p w14:paraId="402EF5C1">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2、若《残疾人福利性单位声明函》内容不真实，视为提供虚假材料。</w:t>
      </w:r>
    </w:p>
    <w:p w14:paraId="5CF9EEF8">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3850DAE9">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6DB2285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754CB9DE">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w:t>
      </w:r>
    </w:p>
    <w:p w14:paraId="38C61528">
      <w:pPr>
        <w:pStyle w:val="10"/>
        <w:spacing w:line="360" w:lineRule="auto"/>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监狱企业证明材料</w:t>
      </w:r>
    </w:p>
    <w:p w14:paraId="4D08BD0B">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投标人为监狱企业，提供本单位制造的货物（承接的服务），并在电子投标文件中提供省级以上监狱管理局、戒毒管理局（含新疆生产建设兵团）出具的属于监狱企业的证明文件。</w:t>
      </w:r>
    </w:p>
    <w:p w14:paraId="28DD254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7AA9CB9D">
      <w:pPr>
        <w:pStyle w:val="10"/>
        <w:spacing w:line="360" w:lineRule="auto"/>
        <w:jc w:val="center"/>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三-3招标文件规定的其他价格扣除证明材料（若有）</w:t>
      </w:r>
    </w:p>
    <w:p w14:paraId="6B5C855C">
      <w:pPr>
        <w:pStyle w:val="10"/>
        <w:spacing w:line="360" w:lineRule="auto"/>
        <w:ind w:firstLine="4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编制说明</w:t>
      </w:r>
    </w:p>
    <w:p w14:paraId="7AA67E3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1DA43647">
      <w:pPr>
        <w:pStyle w:val="1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7FE74155">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封面格式(技术商务部分)</w:t>
      </w:r>
    </w:p>
    <w:p w14:paraId="75E2E1D1">
      <w:pPr>
        <w:pStyle w:val="10"/>
        <w:spacing w:line="360" w:lineRule="auto"/>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福建省政府采购投标文件</w:t>
      </w:r>
    </w:p>
    <w:p w14:paraId="2346BEB4">
      <w:pPr>
        <w:pStyle w:val="10"/>
        <w:spacing w:line="360" w:lineRule="auto"/>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（技术商务部分）</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p>
    <w:p w14:paraId="79D5FBE2">
      <w:pPr>
        <w:pStyle w:val="10"/>
        <w:spacing w:line="360" w:lineRule="auto"/>
        <w:jc w:val="center"/>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（填写正本或副本）</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p>
    <w:p w14:paraId="2B24D15F">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项目名称：（由投标人填写）</w:t>
      </w:r>
    </w:p>
    <w:p w14:paraId="3AE85B2B">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备案编号：（由投标人填写）</w:t>
      </w:r>
    </w:p>
    <w:p w14:paraId="169978BE">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项目编号：（由投标人填写）</w:t>
      </w:r>
    </w:p>
    <w:p w14:paraId="4C69C49E">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所投采购包：（由投标人填写）</w:t>
      </w:r>
    </w:p>
    <w:p w14:paraId="4F8C031E">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投标人：（填写“全称”）</w:t>
      </w:r>
    </w:p>
    <w:p w14:paraId="0CD08005">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（由投标人填写）年（由投标人填写）月</w:t>
      </w:r>
    </w:p>
    <w:p w14:paraId="3176C49F">
      <w:pPr>
        <w:pStyle w:val="1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130C5E3C">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索引</w:t>
      </w:r>
    </w:p>
    <w:p w14:paraId="5BB55C5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一、标的说明一览表</w:t>
      </w:r>
    </w:p>
    <w:p w14:paraId="29A3A78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二、技术和服务要求响应表</w:t>
      </w:r>
    </w:p>
    <w:p w14:paraId="0A572170">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三、商务条件响应表</w:t>
      </w:r>
    </w:p>
    <w:p w14:paraId="199029C1">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四、投标人提交的其他资料（若有）</w:t>
      </w:r>
    </w:p>
    <w:p w14:paraId="1985363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6716068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技术商务部分中不得出现报价部分的全部或部分的投标报价信息（或组成资料），否则符合性审查不合格。</w:t>
      </w:r>
    </w:p>
    <w:p w14:paraId="25BCA547">
      <w:pPr>
        <w:pStyle w:val="1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45EDB50E">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一、标的说明一览表</w:t>
      </w:r>
    </w:p>
    <w:p w14:paraId="259C0A8F">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u w:val="single"/>
        </w:rPr>
        <w:t>　　　　　　　　</w:t>
      </w:r>
    </w:p>
    <w:tbl>
      <w:tblPr>
        <w:tblStyle w:val="6"/>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45D10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7C4047D">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w:t>
            </w:r>
          </w:p>
        </w:tc>
        <w:tc>
          <w:tcPr>
            <w:tcW w:w="1187" w:type="dxa"/>
          </w:tcPr>
          <w:p w14:paraId="2B7A668A">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品目号</w:t>
            </w:r>
          </w:p>
        </w:tc>
        <w:tc>
          <w:tcPr>
            <w:tcW w:w="1187" w:type="dxa"/>
          </w:tcPr>
          <w:p w14:paraId="218F619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投标标的</w:t>
            </w:r>
          </w:p>
        </w:tc>
        <w:tc>
          <w:tcPr>
            <w:tcW w:w="1187" w:type="dxa"/>
          </w:tcPr>
          <w:p w14:paraId="7290196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1187" w:type="dxa"/>
          </w:tcPr>
          <w:p w14:paraId="0C40862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规格</w:t>
            </w:r>
          </w:p>
        </w:tc>
        <w:tc>
          <w:tcPr>
            <w:tcW w:w="1187" w:type="dxa"/>
          </w:tcPr>
          <w:p w14:paraId="10F45F9E">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来源地</w:t>
            </w:r>
          </w:p>
        </w:tc>
        <w:tc>
          <w:tcPr>
            <w:tcW w:w="1187" w:type="dxa"/>
          </w:tcPr>
          <w:p w14:paraId="760782A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59D7C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70C713B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87" w:type="dxa"/>
          </w:tcPr>
          <w:p w14:paraId="3D2D6F5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187" w:type="dxa"/>
          </w:tcPr>
          <w:p w14:paraId="12C20510">
            <w:pPr>
              <w:spacing w:line="360" w:lineRule="auto"/>
              <w:rPr>
                <w:rFonts w:hint="eastAsia" w:asciiTheme="minorEastAsia" w:hAnsiTheme="minorEastAsia" w:eastAsiaTheme="minorEastAsia" w:cstheme="minorEastAsia"/>
                <w:color w:val="auto"/>
                <w:sz w:val="24"/>
                <w:szCs w:val="24"/>
              </w:rPr>
            </w:pPr>
          </w:p>
        </w:tc>
        <w:tc>
          <w:tcPr>
            <w:tcW w:w="1187" w:type="dxa"/>
          </w:tcPr>
          <w:p w14:paraId="303977C8">
            <w:pPr>
              <w:spacing w:line="360" w:lineRule="auto"/>
              <w:rPr>
                <w:rFonts w:hint="eastAsia" w:asciiTheme="minorEastAsia" w:hAnsiTheme="minorEastAsia" w:eastAsiaTheme="minorEastAsia" w:cstheme="minorEastAsia"/>
                <w:color w:val="auto"/>
                <w:sz w:val="24"/>
                <w:szCs w:val="24"/>
              </w:rPr>
            </w:pPr>
          </w:p>
        </w:tc>
        <w:tc>
          <w:tcPr>
            <w:tcW w:w="1187" w:type="dxa"/>
          </w:tcPr>
          <w:p w14:paraId="1EF11A0C">
            <w:pPr>
              <w:spacing w:line="360" w:lineRule="auto"/>
              <w:rPr>
                <w:rFonts w:hint="eastAsia" w:asciiTheme="minorEastAsia" w:hAnsiTheme="minorEastAsia" w:eastAsiaTheme="minorEastAsia" w:cstheme="minorEastAsia"/>
                <w:color w:val="auto"/>
                <w:sz w:val="24"/>
                <w:szCs w:val="24"/>
              </w:rPr>
            </w:pPr>
          </w:p>
        </w:tc>
        <w:tc>
          <w:tcPr>
            <w:tcW w:w="1187" w:type="dxa"/>
          </w:tcPr>
          <w:p w14:paraId="40E8080C">
            <w:pPr>
              <w:spacing w:line="360" w:lineRule="auto"/>
              <w:rPr>
                <w:rFonts w:hint="eastAsia" w:asciiTheme="minorEastAsia" w:hAnsiTheme="minorEastAsia" w:eastAsiaTheme="minorEastAsia" w:cstheme="minorEastAsia"/>
                <w:color w:val="auto"/>
                <w:sz w:val="24"/>
                <w:szCs w:val="24"/>
              </w:rPr>
            </w:pPr>
          </w:p>
        </w:tc>
      </w:tr>
      <w:tr w14:paraId="1B435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490CCFE9">
            <w:pPr>
              <w:spacing w:line="360" w:lineRule="auto"/>
              <w:rPr>
                <w:rFonts w:hint="eastAsia" w:asciiTheme="minorEastAsia" w:hAnsiTheme="minorEastAsia" w:eastAsiaTheme="minorEastAsia" w:cstheme="minorEastAsia"/>
                <w:color w:val="auto"/>
                <w:sz w:val="24"/>
                <w:szCs w:val="24"/>
              </w:rPr>
            </w:pPr>
          </w:p>
        </w:tc>
        <w:tc>
          <w:tcPr>
            <w:tcW w:w="1187" w:type="dxa"/>
          </w:tcPr>
          <w:p w14:paraId="7BFDB86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87" w:type="dxa"/>
          </w:tcPr>
          <w:p w14:paraId="7B2077F1">
            <w:pPr>
              <w:spacing w:line="360" w:lineRule="auto"/>
              <w:rPr>
                <w:rFonts w:hint="eastAsia" w:asciiTheme="minorEastAsia" w:hAnsiTheme="minorEastAsia" w:eastAsiaTheme="minorEastAsia" w:cstheme="minorEastAsia"/>
                <w:color w:val="auto"/>
                <w:sz w:val="24"/>
                <w:szCs w:val="24"/>
              </w:rPr>
            </w:pPr>
          </w:p>
        </w:tc>
        <w:tc>
          <w:tcPr>
            <w:tcW w:w="1187" w:type="dxa"/>
          </w:tcPr>
          <w:p w14:paraId="7B98545D">
            <w:pPr>
              <w:spacing w:line="360" w:lineRule="auto"/>
              <w:rPr>
                <w:rFonts w:hint="eastAsia" w:asciiTheme="minorEastAsia" w:hAnsiTheme="minorEastAsia" w:eastAsiaTheme="minorEastAsia" w:cstheme="minorEastAsia"/>
                <w:color w:val="auto"/>
                <w:sz w:val="24"/>
                <w:szCs w:val="24"/>
              </w:rPr>
            </w:pPr>
          </w:p>
        </w:tc>
        <w:tc>
          <w:tcPr>
            <w:tcW w:w="1187" w:type="dxa"/>
          </w:tcPr>
          <w:p w14:paraId="501BFE1C">
            <w:pPr>
              <w:spacing w:line="360" w:lineRule="auto"/>
              <w:rPr>
                <w:rFonts w:hint="eastAsia" w:asciiTheme="minorEastAsia" w:hAnsiTheme="minorEastAsia" w:eastAsiaTheme="minorEastAsia" w:cstheme="minorEastAsia"/>
                <w:color w:val="auto"/>
                <w:sz w:val="24"/>
                <w:szCs w:val="24"/>
              </w:rPr>
            </w:pPr>
          </w:p>
        </w:tc>
        <w:tc>
          <w:tcPr>
            <w:tcW w:w="1187" w:type="dxa"/>
          </w:tcPr>
          <w:p w14:paraId="50CE9DC0">
            <w:pPr>
              <w:spacing w:line="360" w:lineRule="auto"/>
              <w:rPr>
                <w:rFonts w:hint="eastAsia" w:asciiTheme="minorEastAsia" w:hAnsiTheme="minorEastAsia" w:eastAsiaTheme="minorEastAsia" w:cstheme="minorEastAsia"/>
                <w:color w:val="auto"/>
                <w:sz w:val="24"/>
                <w:szCs w:val="24"/>
              </w:rPr>
            </w:pPr>
          </w:p>
        </w:tc>
      </w:tr>
      <w:tr w14:paraId="106AF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14:paraId="1C3CC70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87" w:type="dxa"/>
          </w:tcPr>
          <w:p w14:paraId="528BDEA3">
            <w:pPr>
              <w:spacing w:line="360" w:lineRule="auto"/>
              <w:rPr>
                <w:rFonts w:hint="eastAsia" w:asciiTheme="minorEastAsia" w:hAnsiTheme="minorEastAsia" w:eastAsiaTheme="minorEastAsia" w:cstheme="minorEastAsia"/>
                <w:color w:val="auto"/>
                <w:sz w:val="24"/>
                <w:szCs w:val="24"/>
              </w:rPr>
            </w:pPr>
          </w:p>
        </w:tc>
        <w:tc>
          <w:tcPr>
            <w:tcW w:w="1187" w:type="dxa"/>
          </w:tcPr>
          <w:p w14:paraId="69A42F03">
            <w:pPr>
              <w:spacing w:line="360" w:lineRule="auto"/>
              <w:rPr>
                <w:rFonts w:hint="eastAsia" w:asciiTheme="minorEastAsia" w:hAnsiTheme="minorEastAsia" w:eastAsiaTheme="minorEastAsia" w:cstheme="minorEastAsia"/>
                <w:color w:val="auto"/>
                <w:sz w:val="24"/>
                <w:szCs w:val="24"/>
              </w:rPr>
            </w:pPr>
          </w:p>
        </w:tc>
        <w:tc>
          <w:tcPr>
            <w:tcW w:w="1187" w:type="dxa"/>
          </w:tcPr>
          <w:p w14:paraId="7A570FFD">
            <w:pPr>
              <w:spacing w:line="360" w:lineRule="auto"/>
              <w:rPr>
                <w:rFonts w:hint="eastAsia" w:asciiTheme="minorEastAsia" w:hAnsiTheme="minorEastAsia" w:eastAsiaTheme="minorEastAsia" w:cstheme="minorEastAsia"/>
                <w:color w:val="auto"/>
                <w:sz w:val="24"/>
                <w:szCs w:val="24"/>
              </w:rPr>
            </w:pPr>
          </w:p>
        </w:tc>
        <w:tc>
          <w:tcPr>
            <w:tcW w:w="1187" w:type="dxa"/>
          </w:tcPr>
          <w:p w14:paraId="7BAF182B">
            <w:pPr>
              <w:spacing w:line="360" w:lineRule="auto"/>
              <w:rPr>
                <w:rFonts w:hint="eastAsia" w:asciiTheme="minorEastAsia" w:hAnsiTheme="minorEastAsia" w:eastAsiaTheme="minorEastAsia" w:cstheme="minorEastAsia"/>
                <w:color w:val="auto"/>
                <w:sz w:val="24"/>
                <w:szCs w:val="24"/>
              </w:rPr>
            </w:pPr>
          </w:p>
        </w:tc>
        <w:tc>
          <w:tcPr>
            <w:tcW w:w="1187" w:type="dxa"/>
          </w:tcPr>
          <w:p w14:paraId="4715AECB">
            <w:pPr>
              <w:spacing w:line="360" w:lineRule="auto"/>
              <w:rPr>
                <w:rFonts w:hint="eastAsia" w:asciiTheme="minorEastAsia" w:hAnsiTheme="minorEastAsia" w:eastAsiaTheme="minorEastAsia" w:cstheme="minorEastAsia"/>
                <w:color w:val="auto"/>
                <w:sz w:val="24"/>
                <w:szCs w:val="24"/>
              </w:rPr>
            </w:pPr>
          </w:p>
        </w:tc>
      </w:tr>
    </w:tbl>
    <w:p w14:paraId="578F66F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379C5C3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1、本表应按照下列规定填写：</w:t>
      </w:r>
    </w:p>
    <w:p w14:paraId="47908CA1">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1.1“采购包”、“品目号”、“投标标的”及“数量”应与招标文件《采购标的一览表》中的有关内容（“采购包”、“品目号”、“采购标的”及“数量”）保持一致。</w:t>
      </w:r>
    </w:p>
    <w:p w14:paraId="14493F59">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3405731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35FBD8F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4D10D5C8">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3、电子投标文件中涉及“投标标的”、“数量”、“规格”、“来源地”的内容若不一致，以投标客户端的投标（响应）报价明细表为准。</w:t>
      </w:r>
    </w:p>
    <w:p w14:paraId="009AAF4D">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5C2111CA">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2B4AB0BD">
      <w:pPr>
        <w:pStyle w:val="1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2E800795">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二、技术和服务要求响应表</w:t>
      </w:r>
    </w:p>
    <w:p w14:paraId="41653A23">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u w:val="single"/>
        </w:rPr>
        <w:t>　　　　　　　　</w:t>
      </w:r>
    </w:p>
    <w:tbl>
      <w:tblPr>
        <w:tblStyle w:val="6"/>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75B8D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DC99135">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w:t>
            </w:r>
          </w:p>
        </w:tc>
        <w:tc>
          <w:tcPr>
            <w:tcW w:w="1661" w:type="dxa"/>
          </w:tcPr>
          <w:p w14:paraId="19B06F4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品目号</w:t>
            </w:r>
          </w:p>
        </w:tc>
        <w:tc>
          <w:tcPr>
            <w:tcW w:w="1661" w:type="dxa"/>
          </w:tcPr>
          <w:p w14:paraId="69D8AA9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技术和服务要求</w:t>
            </w:r>
          </w:p>
        </w:tc>
        <w:tc>
          <w:tcPr>
            <w:tcW w:w="1661" w:type="dxa"/>
          </w:tcPr>
          <w:p w14:paraId="7A39C89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投标响应</w:t>
            </w:r>
          </w:p>
        </w:tc>
        <w:tc>
          <w:tcPr>
            <w:tcW w:w="1661" w:type="dxa"/>
          </w:tcPr>
          <w:p w14:paraId="34FA2FD8">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是否偏离及说明</w:t>
            </w:r>
          </w:p>
        </w:tc>
      </w:tr>
      <w:tr w14:paraId="3C96D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5878DB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661" w:type="dxa"/>
          </w:tcPr>
          <w:p w14:paraId="1C7938C9">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661" w:type="dxa"/>
          </w:tcPr>
          <w:p w14:paraId="6CD9F445">
            <w:pPr>
              <w:spacing w:line="360" w:lineRule="auto"/>
              <w:rPr>
                <w:rFonts w:hint="eastAsia" w:asciiTheme="minorEastAsia" w:hAnsiTheme="minorEastAsia" w:eastAsiaTheme="minorEastAsia" w:cstheme="minorEastAsia"/>
                <w:color w:val="auto"/>
                <w:sz w:val="24"/>
                <w:szCs w:val="24"/>
              </w:rPr>
            </w:pPr>
          </w:p>
        </w:tc>
        <w:tc>
          <w:tcPr>
            <w:tcW w:w="1661" w:type="dxa"/>
          </w:tcPr>
          <w:p w14:paraId="32996CCE">
            <w:pPr>
              <w:spacing w:line="360" w:lineRule="auto"/>
              <w:rPr>
                <w:rFonts w:hint="eastAsia" w:asciiTheme="minorEastAsia" w:hAnsiTheme="minorEastAsia" w:eastAsiaTheme="minorEastAsia" w:cstheme="minorEastAsia"/>
                <w:color w:val="auto"/>
                <w:sz w:val="24"/>
                <w:szCs w:val="24"/>
              </w:rPr>
            </w:pPr>
          </w:p>
        </w:tc>
        <w:tc>
          <w:tcPr>
            <w:tcW w:w="1661" w:type="dxa"/>
          </w:tcPr>
          <w:p w14:paraId="7E5A19F4">
            <w:pPr>
              <w:spacing w:line="360" w:lineRule="auto"/>
              <w:rPr>
                <w:rFonts w:hint="eastAsia" w:asciiTheme="minorEastAsia" w:hAnsiTheme="minorEastAsia" w:eastAsiaTheme="minorEastAsia" w:cstheme="minorEastAsia"/>
                <w:color w:val="auto"/>
                <w:sz w:val="24"/>
                <w:szCs w:val="24"/>
              </w:rPr>
            </w:pPr>
          </w:p>
        </w:tc>
      </w:tr>
      <w:tr w14:paraId="31F3D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74FC3A5">
            <w:pPr>
              <w:spacing w:line="360" w:lineRule="auto"/>
              <w:rPr>
                <w:rFonts w:hint="eastAsia" w:asciiTheme="minorEastAsia" w:hAnsiTheme="minorEastAsia" w:eastAsiaTheme="minorEastAsia" w:cstheme="minorEastAsia"/>
                <w:color w:val="auto"/>
                <w:sz w:val="24"/>
                <w:szCs w:val="24"/>
              </w:rPr>
            </w:pPr>
          </w:p>
        </w:tc>
        <w:tc>
          <w:tcPr>
            <w:tcW w:w="1661" w:type="dxa"/>
          </w:tcPr>
          <w:p w14:paraId="3D63AEB2">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661" w:type="dxa"/>
          </w:tcPr>
          <w:p w14:paraId="2318CD8C">
            <w:pPr>
              <w:spacing w:line="360" w:lineRule="auto"/>
              <w:rPr>
                <w:rFonts w:hint="eastAsia" w:asciiTheme="minorEastAsia" w:hAnsiTheme="minorEastAsia" w:eastAsiaTheme="minorEastAsia" w:cstheme="minorEastAsia"/>
                <w:color w:val="auto"/>
                <w:sz w:val="24"/>
                <w:szCs w:val="24"/>
              </w:rPr>
            </w:pPr>
          </w:p>
        </w:tc>
        <w:tc>
          <w:tcPr>
            <w:tcW w:w="1661" w:type="dxa"/>
          </w:tcPr>
          <w:p w14:paraId="203BB61B">
            <w:pPr>
              <w:spacing w:line="360" w:lineRule="auto"/>
              <w:rPr>
                <w:rFonts w:hint="eastAsia" w:asciiTheme="minorEastAsia" w:hAnsiTheme="minorEastAsia" w:eastAsiaTheme="minorEastAsia" w:cstheme="minorEastAsia"/>
                <w:color w:val="auto"/>
                <w:sz w:val="24"/>
                <w:szCs w:val="24"/>
              </w:rPr>
            </w:pPr>
          </w:p>
        </w:tc>
        <w:tc>
          <w:tcPr>
            <w:tcW w:w="1661" w:type="dxa"/>
          </w:tcPr>
          <w:p w14:paraId="15D6883A">
            <w:pPr>
              <w:spacing w:line="360" w:lineRule="auto"/>
              <w:rPr>
                <w:rFonts w:hint="eastAsia" w:asciiTheme="minorEastAsia" w:hAnsiTheme="minorEastAsia" w:eastAsiaTheme="minorEastAsia" w:cstheme="minorEastAsia"/>
                <w:color w:val="auto"/>
                <w:sz w:val="24"/>
                <w:szCs w:val="24"/>
              </w:rPr>
            </w:pPr>
          </w:p>
        </w:tc>
      </w:tr>
      <w:tr w14:paraId="17EF3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2F5DBF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661" w:type="dxa"/>
          </w:tcPr>
          <w:p w14:paraId="0C9F3B5E">
            <w:pPr>
              <w:spacing w:line="360" w:lineRule="auto"/>
              <w:rPr>
                <w:rFonts w:hint="eastAsia" w:asciiTheme="minorEastAsia" w:hAnsiTheme="minorEastAsia" w:eastAsiaTheme="minorEastAsia" w:cstheme="minorEastAsia"/>
                <w:color w:val="auto"/>
                <w:sz w:val="24"/>
                <w:szCs w:val="24"/>
              </w:rPr>
            </w:pPr>
          </w:p>
        </w:tc>
        <w:tc>
          <w:tcPr>
            <w:tcW w:w="1661" w:type="dxa"/>
          </w:tcPr>
          <w:p w14:paraId="4715BD5B">
            <w:pPr>
              <w:spacing w:line="360" w:lineRule="auto"/>
              <w:rPr>
                <w:rFonts w:hint="eastAsia" w:asciiTheme="minorEastAsia" w:hAnsiTheme="minorEastAsia" w:eastAsiaTheme="minorEastAsia" w:cstheme="minorEastAsia"/>
                <w:color w:val="auto"/>
                <w:sz w:val="24"/>
                <w:szCs w:val="24"/>
              </w:rPr>
            </w:pPr>
          </w:p>
        </w:tc>
        <w:tc>
          <w:tcPr>
            <w:tcW w:w="1661" w:type="dxa"/>
          </w:tcPr>
          <w:p w14:paraId="280B5FE3">
            <w:pPr>
              <w:spacing w:line="360" w:lineRule="auto"/>
              <w:rPr>
                <w:rFonts w:hint="eastAsia" w:asciiTheme="minorEastAsia" w:hAnsiTheme="minorEastAsia" w:eastAsiaTheme="minorEastAsia" w:cstheme="minorEastAsia"/>
                <w:color w:val="auto"/>
                <w:sz w:val="24"/>
                <w:szCs w:val="24"/>
              </w:rPr>
            </w:pPr>
          </w:p>
        </w:tc>
        <w:tc>
          <w:tcPr>
            <w:tcW w:w="1661" w:type="dxa"/>
          </w:tcPr>
          <w:p w14:paraId="756B0D12">
            <w:pPr>
              <w:spacing w:line="360" w:lineRule="auto"/>
              <w:rPr>
                <w:rFonts w:hint="eastAsia" w:asciiTheme="minorEastAsia" w:hAnsiTheme="minorEastAsia" w:eastAsiaTheme="minorEastAsia" w:cstheme="minorEastAsia"/>
                <w:color w:val="auto"/>
                <w:sz w:val="24"/>
                <w:szCs w:val="24"/>
              </w:rPr>
            </w:pPr>
          </w:p>
        </w:tc>
      </w:tr>
    </w:tbl>
    <w:p w14:paraId="13C38798">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78FF6F73">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1、本表应按照下列规定填写：</w:t>
      </w:r>
    </w:p>
    <w:p w14:paraId="0E4A2221">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1.1“技术和服务要求”项下填写的内容应与招标文件第五章“技术和服务要求”的内容保持一致。</w:t>
      </w:r>
    </w:p>
    <w:p w14:paraId="1853027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B8B7F58">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1.3“是否偏离及说明”项下应按下列规定填写：优于的，填写“正偏离”；符合的，填写“无偏离”；低于的，填写“负偏离”。</w:t>
      </w:r>
    </w:p>
    <w:p w14:paraId="01A8718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3CBDF68B">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6394097E">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11B52CC9">
      <w:pPr>
        <w:pStyle w:val="1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43EE290E">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三、商务条件响应表</w:t>
      </w:r>
    </w:p>
    <w:p w14:paraId="356842F4">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u w:val="single"/>
        </w:rPr>
        <w:t>　　　　　　　　</w:t>
      </w:r>
    </w:p>
    <w:tbl>
      <w:tblPr>
        <w:tblStyle w:val="6"/>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5DAAB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7409F3B">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采购包</w:t>
            </w:r>
          </w:p>
        </w:tc>
        <w:tc>
          <w:tcPr>
            <w:tcW w:w="1661" w:type="dxa"/>
          </w:tcPr>
          <w:p w14:paraId="385D517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品目号</w:t>
            </w:r>
          </w:p>
        </w:tc>
        <w:tc>
          <w:tcPr>
            <w:tcW w:w="1661" w:type="dxa"/>
          </w:tcPr>
          <w:p w14:paraId="33FA0BD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商务条件</w:t>
            </w:r>
          </w:p>
        </w:tc>
        <w:tc>
          <w:tcPr>
            <w:tcW w:w="1661" w:type="dxa"/>
          </w:tcPr>
          <w:p w14:paraId="23023FD0">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投标响应</w:t>
            </w:r>
          </w:p>
        </w:tc>
        <w:tc>
          <w:tcPr>
            <w:tcW w:w="1661" w:type="dxa"/>
          </w:tcPr>
          <w:p w14:paraId="0780D03F">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是否偏离及说明</w:t>
            </w:r>
          </w:p>
        </w:tc>
      </w:tr>
      <w:tr w14:paraId="0FC37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E8C8C41">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661" w:type="dxa"/>
          </w:tcPr>
          <w:p w14:paraId="53551954">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661" w:type="dxa"/>
          </w:tcPr>
          <w:p w14:paraId="7A80BA44">
            <w:pPr>
              <w:spacing w:line="360" w:lineRule="auto"/>
              <w:rPr>
                <w:rFonts w:hint="eastAsia" w:asciiTheme="minorEastAsia" w:hAnsiTheme="minorEastAsia" w:eastAsiaTheme="minorEastAsia" w:cstheme="minorEastAsia"/>
                <w:color w:val="auto"/>
                <w:sz w:val="24"/>
                <w:szCs w:val="24"/>
              </w:rPr>
            </w:pPr>
          </w:p>
        </w:tc>
        <w:tc>
          <w:tcPr>
            <w:tcW w:w="1661" w:type="dxa"/>
          </w:tcPr>
          <w:p w14:paraId="0BBB6E47">
            <w:pPr>
              <w:spacing w:line="360" w:lineRule="auto"/>
              <w:rPr>
                <w:rFonts w:hint="eastAsia" w:asciiTheme="minorEastAsia" w:hAnsiTheme="minorEastAsia" w:eastAsiaTheme="minorEastAsia" w:cstheme="minorEastAsia"/>
                <w:color w:val="auto"/>
                <w:sz w:val="24"/>
                <w:szCs w:val="24"/>
              </w:rPr>
            </w:pPr>
          </w:p>
        </w:tc>
        <w:tc>
          <w:tcPr>
            <w:tcW w:w="1661" w:type="dxa"/>
          </w:tcPr>
          <w:p w14:paraId="506691EB">
            <w:pPr>
              <w:spacing w:line="360" w:lineRule="auto"/>
              <w:rPr>
                <w:rFonts w:hint="eastAsia" w:asciiTheme="minorEastAsia" w:hAnsiTheme="minorEastAsia" w:eastAsiaTheme="minorEastAsia" w:cstheme="minorEastAsia"/>
                <w:color w:val="auto"/>
                <w:sz w:val="24"/>
                <w:szCs w:val="24"/>
              </w:rPr>
            </w:pPr>
          </w:p>
        </w:tc>
      </w:tr>
      <w:tr w14:paraId="7D690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33233BB">
            <w:pPr>
              <w:spacing w:line="360" w:lineRule="auto"/>
              <w:rPr>
                <w:rFonts w:hint="eastAsia" w:asciiTheme="minorEastAsia" w:hAnsiTheme="minorEastAsia" w:eastAsiaTheme="minorEastAsia" w:cstheme="minorEastAsia"/>
                <w:color w:val="auto"/>
                <w:sz w:val="24"/>
                <w:szCs w:val="24"/>
              </w:rPr>
            </w:pPr>
          </w:p>
        </w:tc>
        <w:tc>
          <w:tcPr>
            <w:tcW w:w="1661" w:type="dxa"/>
          </w:tcPr>
          <w:p w14:paraId="67C5F007">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661" w:type="dxa"/>
          </w:tcPr>
          <w:p w14:paraId="78545F34">
            <w:pPr>
              <w:spacing w:line="360" w:lineRule="auto"/>
              <w:rPr>
                <w:rFonts w:hint="eastAsia" w:asciiTheme="minorEastAsia" w:hAnsiTheme="minorEastAsia" w:eastAsiaTheme="minorEastAsia" w:cstheme="minorEastAsia"/>
                <w:color w:val="auto"/>
                <w:sz w:val="24"/>
                <w:szCs w:val="24"/>
              </w:rPr>
            </w:pPr>
          </w:p>
        </w:tc>
        <w:tc>
          <w:tcPr>
            <w:tcW w:w="1661" w:type="dxa"/>
          </w:tcPr>
          <w:p w14:paraId="372EF804">
            <w:pPr>
              <w:spacing w:line="360" w:lineRule="auto"/>
              <w:rPr>
                <w:rFonts w:hint="eastAsia" w:asciiTheme="minorEastAsia" w:hAnsiTheme="minorEastAsia" w:eastAsiaTheme="minorEastAsia" w:cstheme="minorEastAsia"/>
                <w:color w:val="auto"/>
                <w:sz w:val="24"/>
                <w:szCs w:val="24"/>
              </w:rPr>
            </w:pPr>
          </w:p>
        </w:tc>
        <w:tc>
          <w:tcPr>
            <w:tcW w:w="1661" w:type="dxa"/>
          </w:tcPr>
          <w:p w14:paraId="6ECE266B">
            <w:pPr>
              <w:spacing w:line="360" w:lineRule="auto"/>
              <w:rPr>
                <w:rFonts w:hint="eastAsia" w:asciiTheme="minorEastAsia" w:hAnsiTheme="minorEastAsia" w:eastAsiaTheme="minorEastAsia" w:cstheme="minorEastAsia"/>
                <w:color w:val="auto"/>
                <w:sz w:val="24"/>
                <w:szCs w:val="24"/>
              </w:rPr>
            </w:pPr>
          </w:p>
        </w:tc>
      </w:tr>
      <w:tr w14:paraId="1B485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ECA1C0C">
            <w:pPr>
              <w:pStyle w:val="1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661" w:type="dxa"/>
          </w:tcPr>
          <w:p w14:paraId="6B794D50">
            <w:pPr>
              <w:spacing w:line="360" w:lineRule="auto"/>
              <w:rPr>
                <w:rFonts w:hint="eastAsia" w:asciiTheme="minorEastAsia" w:hAnsiTheme="minorEastAsia" w:eastAsiaTheme="minorEastAsia" w:cstheme="minorEastAsia"/>
                <w:color w:val="auto"/>
                <w:sz w:val="24"/>
                <w:szCs w:val="24"/>
              </w:rPr>
            </w:pPr>
          </w:p>
        </w:tc>
        <w:tc>
          <w:tcPr>
            <w:tcW w:w="1661" w:type="dxa"/>
          </w:tcPr>
          <w:p w14:paraId="5C527EAF">
            <w:pPr>
              <w:spacing w:line="360" w:lineRule="auto"/>
              <w:rPr>
                <w:rFonts w:hint="eastAsia" w:asciiTheme="minorEastAsia" w:hAnsiTheme="minorEastAsia" w:eastAsiaTheme="minorEastAsia" w:cstheme="minorEastAsia"/>
                <w:color w:val="auto"/>
                <w:sz w:val="24"/>
                <w:szCs w:val="24"/>
              </w:rPr>
            </w:pPr>
          </w:p>
        </w:tc>
        <w:tc>
          <w:tcPr>
            <w:tcW w:w="1661" w:type="dxa"/>
          </w:tcPr>
          <w:p w14:paraId="6FB10FBE">
            <w:pPr>
              <w:spacing w:line="360" w:lineRule="auto"/>
              <w:rPr>
                <w:rFonts w:hint="eastAsia" w:asciiTheme="minorEastAsia" w:hAnsiTheme="minorEastAsia" w:eastAsiaTheme="minorEastAsia" w:cstheme="minorEastAsia"/>
                <w:color w:val="auto"/>
                <w:sz w:val="24"/>
                <w:szCs w:val="24"/>
              </w:rPr>
            </w:pPr>
          </w:p>
        </w:tc>
        <w:tc>
          <w:tcPr>
            <w:tcW w:w="1661" w:type="dxa"/>
          </w:tcPr>
          <w:p w14:paraId="5B9538EE">
            <w:pPr>
              <w:spacing w:line="360" w:lineRule="auto"/>
              <w:rPr>
                <w:rFonts w:hint="eastAsia" w:asciiTheme="minorEastAsia" w:hAnsiTheme="minorEastAsia" w:eastAsiaTheme="minorEastAsia" w:cstheme="minorEastAsia"/>
                <w:color w:val="auto"/>
                <w:sz w:val="24"/>
                <w:szCs w:val="24"/>
              </w:rPr>
            </w:pPr>
          </w:p>
        </w:tc>
      </w:tr>
    </w:tbl>
    <w:p w14:paraId="2711D54F">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※注意：</w:t>
      </w:r>
    </w:p>
    <w:p w14:paraId="2C80FF77">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1、本表应按照下列规定填写：</w:t>
      </w:r>
    </w:p>
    <w:p w14:paraId="7A72B1DA">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1.1“商务条件”项下填写的内容应与招标文件第五章“商务条件”的内容保持一致。</w:t>
      </w:r>
    </w:p>
    <w:p w14:paraId="61AD8644">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1.2“投标响应”项下应填写具体的响应内容并与“商务条件”项下填写的内容逐项对应；对“商务条件”项下涉及“≥或＞”、“≤或＜”及某个区间值范围内的内容，应填写具体的数值。</w:t>
      </w:r>
    </w:p>
    <w:p w14:paraId="090A09A0">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1.3“是否偏离及说明”项下应按下列规定填写：优于的，填写“正偏离”；符合的，填写“无偏离”；低于的，填写“负偏离”。</w:t>
      </w:r>
    </w:p>
    <w:p w14:paraId="5812F805">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45C9BC21">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（全称并加盖单位公章）</w:t>
      </w:r>
    </w:p>
    <w:p w14:paraId="32E015A9">
      <w:pPr>
        <w:pStyle w:val="10"/>
        <w:spacing w:line="360" w:lineRule="auto"/>
        <w:ind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年　　月　　日</w:t>
      </w:r>
    </w:p>
    <w:p w14:paraId="54A0DBAD">
      <w:pPr>
        <w:pStyle w:val="1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page"/>
      </w:r>
    </w:p>
    <w:p w14:paraId="4A117978">
      <w:pPr>
        <w:pStyle w:val="10"/>
        <w:spacing w:line="360" w:lineRule="auto"/>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四、投标人提交的其他资料（若有）</w:t>
      </w:r>
    </w:p>
    <w:p w14:paraId="3FD9E8B1">
      <w:pPr>
        <w:pStyle w:val="10"/>
        <w:spacing w:line="360" w:lineRule="auto"/>
        <w:ind w:firstLine="48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编制说明</w:t>
      </w:r>
    </w:p>
    <w:p w14:paraId="36F2A49C">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1、招标文件要求提交的除“资格及资信证明部分”、“报价部分”外的其他证明材料或资料加盖投标人的单位公章后应在此项下提交。</w:t>
      </w:r>
    </w:p>
    <w:p w14:paraId="5B58AE32">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2、招标文件要求投标人提供方案（包括但不限于：组织、实施、技术、服务方案等）的，投标人应在此项下提交。</w:t>
      </w:r>
    </w:p>
    <w:p w14:paraId="1A6EC64E">
      <w:pPr>
        <w:pStyle w:val="10"/>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3、除招标文件另有规定外，投标人认为需要提交的其他证明材料或资料加盖投标人的单位公章后应在此项下提交。</w:t>
      </w:r>
    </w:p>
    <w:p w14:paraId="2DDA36A3">
      <w:pPr>
        <w:pStyle w:val="10"/>
        <w:spacing w:line="360" w:lineRule="auto"/>
        <w:rPr>
          <w:rFonts w:hint="eastAsia" w:asciiTheme="minorEastAsia" w:hAnsiTheme="minorEastAsia" w:eastAsiaTheme="minorEastAsia" w:cstheme="minorEastAsia"/>
          <w:color w:val="auto"/>
          <w:sz w:val="24"/>
          <w:szCs w:val="24"/>
          <w:lang w:val="en-US" w:eastAsia="zh-Hans"/>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B53A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DE2A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6DE2A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321D0D"/>
    <w:multiLevelType w:val="singleLevel"/>
    <w:tmpl w:val="6A321D0D"/>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1B1217"/>
    <w:rsid w:val="00914AD1"/>
    <w:rsid w:val="009E07E5"/>
    <w:rsid w:val="014514C4"/>
    <w:rsid w:val="0492177A"/>
    <w:rsid w:val="05875EDD"/>
    <w:rsid w:val="068C0862"/>
    <w:rsid w:val="09917567"/>
    <w:rsid w:val="0AB47D32"/>
    <w:rsid w:val="0BDF028D"/>
    <w:rsid w:val="0D0F63AA"/>
    <w:rsid w:val="11831AFD"/>
    <w:rsid w:val="152D7855"/>
    <w:rsid w:val="177F50ED"/>
    <w:rsid w:val="17D248AE"/>
    <w:rsid w:val="1BF800D5"/>
    <w:rsid w:val="1EED36A7"/>
    <w:rsid w:val="1F6776BD"/>
    <w:rsid w:val="23285C27"/>
    <w:rsid w:val="239674AB"/>
    <w:rsid w:val="23DA3705"/>
    <w:rsid w:val="2C145732"/>
    <w:rsid w:val="2D1E7EF7"/>
    <w:rsid w:val="2EB634E3"/>
    <w:rsid w:val="2EE45848"/>
    <w:rsid w:val="2EFA0B70"/>
    <w:rsid w:val="2FA05D1A"/>
    <w:rsid w:val="34DB3FA3"/>
    <w:rsid w:val="36E51D97"/>
    <w:rsid w:val="384F0C8B"/>
    <w:rsid w:val="3BE22093"/>
    <w:rsid w:val="3CE43C05"/>
    <w:rsid w:val="3D1909C9"/>
    <w:rsid w:val="3E752DDF"/>
    <w:rsid w:val="3EE426A4"/>
    <w:rsid w:val="3EF37D04"/>
    <w:rsid w:val="3F205C72"/>
    <w:rsid w:val="3F5D6983"/>
    <w:rsid w:val="3FA96ABA"/>
    <w:rsid w:val="404B1DAA"/>
    <w:rsid w:val="40B94E8E"/>
    <w:rsid w:val="41C9494A"/>
    <w:rsid w:val="41D4167F"/>
    <w:rsid w:val="479A7B04"/>
    <w:rsid w:val="496B5115"/>
    <w:rsid w:val="4A645FD7"/>
    <w:rsid w:val="4ADB4459"/>
    <w:rsid w:val="4B8C1A96"/>
    <w:rsid w:val="4BAA3F25"/>
    <w:rsid w:val="4C337301"/>
    <w:rsid w:val="4CCC0335"/>
    <w:rsid w:val="4E4B1556"/>
    <w:rsid w:val="4EAE6AFF"/>
    <w:rsid w:val="4F5355CF"/>
    <w:rsid w:val="530D3CA7"/>
    <w:rsid w:val="53B52B8D"/>
    <w:rsid w:val="56CC775D"/>
    <w:rsid w:val="5742601B"/>
    <w:rsid w:val="587924FF"/>
    <w:rsid w:val="5A832A27"/>
    <w:rsid w:val="5B1D4C97"/>
    <w:rsid w:val="5B773940"/>
    <w:rsid w:val="5BD23009"/>
    <w:rsid w:val="5BE70AA1"/>
    <w:rsid w:val="5C9D6E24"/>
    <w:rsid w:val="5D3F2575"/>
    <w:rsid w:val="5F903577"/>
    <w:rsid w:val="5FF3503D"/>
    <w:rsid w:val="603A046E"/>
    <w:rsid w:val="646A3EF5"/>
    <w:rsid w:val="66C03D7D"/>
    <w:rsid w:val="6953782D"/>
    <w:rsid w:val="6AC26772"/>
    <w:rsid w:val="6BAD31BF"/>
    <w:rsid w:val="6BC70A6C"/>
    <w:rsid w:val="6C5D1ECF"/>
    <w:rsid w:val="6DAC75B2"/>
    <w:rsid w:val="70B23FB2"/>
    <w:rsid w:val="77A9220D"/>
    <w:rsid w:val="77F79321"/>
    <w:rsid w:val="781809AE"/>
    <w:rsid w:val="785354A8"/>
    <w:rsid w:val="78741A02"/>
    <w:rsid w:val="789F1018"/>
    <w:rsid w:val="78AC637C"/>
    <w:rsid w:val="78F92638"/>
    <w:rsid w:val="797A0600"/>
    <w:rsid w:val="79B64085"/>
    <w:rsid w:val="7A6C7C80"/>
    <w:rsid w:val="7C621595"/>
    <w:rsid w:val="7EDB0455"/>
    <w:rsid w:val="7F7C502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883" w:firstLineChars="20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widowControl/>
      <w:spacing w:after="120"/>
      <w:ind w:firstLine="0" w:firstLineChars="0"/>
      <w:jc w:val="left"/>
    </w:pPr>
    <w:rPr>
      <w:rFonts w:cs="宋体"/>
      <w:kern w:val="0"/>
      <w:lang w:val="zh-CN"/>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174</Pages>
  <Words>21093</Words>
  <Characters>21903</Characters>
  <Lines>0</Lines>
  <Paragraphs>0</Paragraphs>
  <TotalTime>4</TotalTime>
  <ScaleCrop>false</ScaleCrop>
  <LinksUpToDate>false</LinksUpToDate>
  <CharactersWithSpaces>22075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微信用户</cp:lastModifiedBy>
  <cp:lastPrinted>2026-06-25T07:22:00Z</cp:lastPrinted>
  <dcterms:modified xsi:type="dcterms:W3CDTF">2026-07-02T07:35:15Z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355BC828A4FE4E4D9E4668878D98B87E_13</vt:lpwstr>
  </property>
  <property fmtid="{D5CDD505-2E9C-101B-9397-08002B2CF9AE}" pid="4" name="KSOTemplateDocerSaveRecord">
    <vt:lpwstr>eyJoZGlkIjoiNTk3N2UyNzBlM2VhYTZkMzdhZmZkZWUzNTNmYWRhNTQiLCJ1c2VySWQiOiIxMjg5NzUwODI5In0=</vt:lpwstr>
  </property>
</Properties>
</file>