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竞争性磋商文件</w:t>
      </w:r>
    </w:p>
    <w:p>
      <w:pPr>
        <w:pStyle w:val="null3"/>
        <w:jc w:val="center"/>
        <w:outlineLvl w:val="0"/>
      </w:pPr>
      <w:r>
        <w:rPr>
          <w:sz w:val="48"/>
          <w:b/>
        </w:rPr>
        <w:t>（服务类）</w:t>
      </w:r>
    </w:p>
    <w:p>
      <w:pPr>
        <w:pStyle w:val="null3"/>
        <w:jc w:val="center"/>
        <w:outlineLvl w:val="2"/>
      </w:pPr>
      <w:r>
        <w:rPr>
          <w:sz w:val="28"/>
          <w:b/>
        </w:rPr>
        <w:t>项目名称：</w:t>
      </w:r>
      <w:r>
        <w:rPr>
          <w:sz w:val="28"/>
          <w:b/>
        </w:rPr>
        <w:t>全省禁毒工作群众满意度调查</w:t>
      </w:r>
    </w:p>
    <w:p>
      <w:pPr>
        <w:pStyle w:val="null3"/>
        <w:jc w:val="center"/>
        <w:outlineLvl w:val="2"/>
      </w:pPr>
      <w:r>
        <w:rPr>
          <w:sz w:val="28"/>
          <w:b/>
        </w:rPr>
        <w:t>备案编号：</w:t>
      </w:r>
      <w:r>
        <w:rPr>
          <w:sz w:val="28"/>
          <w:b/>
        </w:rPr>
        <w:t>CGXM-2024-350001-09647[2024]07761</w:t>
      </w:r>
    </w:p>
    <w:p>
      <w:pPr>
        <w:pStyle w:val="null3"/>
        <w:jc w:val="center"/>
        <w:outlineLvl w:val="2"/>
      </w:pPr>
      <w:r>
        <w:rPr>
          <w:sz w:val="28"/>
          <w:b/>
        </w:rPr>
        <w:t>项目编号：</w:t>
      </w:r>
      <w:r>
        <w:rPr>
          <w:sz w:val="28"/>
          <w:b/>
        </w:rPr>
        <w:t>[350001]LSGC[CS]2024003</w:t>
      </w:r>
    </w:p>
    <w:p>
      <w:pPr>
        <w:pStyle w:val="null3"/>
        <w:jc w:val="center"/>
        <w:outlineLvl w:val="2"/>
      </w:pPr>
      <w:r>
        <w:rPr>
          <w:sz w:val="28"/>
          <w:b/>
        </w:rPr>
        <w:t>采购人：</w:t>
      </w:r>
      <w:r>
        <w:rPr>
          <w:sz w:val="28"/>
          <w:b/>
        </w:rPr>
        <w:t>福建省禁毒委员会办公室</w:t>
      </w:r>
    </w:p>
    <w:p>
      <w:pPr>
        <w:pStyle w:val="null3"/>
        <w:jc w:val="center"/>
        <w:outlineLvl w:val="2"/>
      </w:pPr>
      <w:r>
        <w:rPr>
          <w:sz w:val="28"/>
          <w:b/>
        </w:rPr>
        <w:t>代理机构：</w:t>
      </w:r>
      <w:r>
        <w:rPr>
          <w:sz w:val="28"/>
          <w:b/>
        </w:rPr>
        <w:t>福建联审工程管理咨询有限公司</w:t>
      </w:r>
    </w:p>
    <w:p>
      <w:pPr>
        <w:pStyle w:val="null3"/>
        <w:jc w:val="center"/>
        <w:outlineLvl w:val="2"/>
      </w:pPr>
      <w:r>
        <w:rPr>
          <w:sz w:val="28"/>
          <w:b/>
        </w:rPr>
        <w:t>编制时间</w:t>
      </w:r>
      <w:r>
        <w:rPr>
          <w:sz w:val="28"/>
          <w:b/>
        </w:rPr>
        <w:t>：</w:t>
      </w:r>
      <w:r>
        <w:rPr>
          <w:sz w:val="28"/>
          <w:b/>
        </w:rPr>
        <w:t>2024年10月</w:t>
      </w:r>
    </w:p>
    <w:p>
      <w:pPr>
        <w:pStyle w:val="null3"/>
      </w:pPr>
      <w:r>
        <w:rPr/>
        <w:t xml:space="preserve"> </w:t>
        <w:br/>
        <w:br w:type="page"/>
      </w:r>
    </w:p>
    <w:p>
      <w:pPr>
        <w:pStyle w:val="null3"/>
        <w:jc w:val="center"/>
        <w:outlineLvl w:val="1"/>
      </w:pPr>
      <w:r>
        <w:rPr>
          <w:sz w:val="36"/>
          <w:b/>
        </w:rPr>
        <w:t>第一章 采购邀请书</w:t>
      </w:r>
    </w:p>
    <w:p>
      <w:pPr>
        <w:pStyle w:val="null3"/>
        <w:jc w:val="center"/>
      </w:pPr>
      <w:r>
        <w:rPr>
          <w:b/>
        </w:rPr>
        <w:t>竞争性磋商采购公告</w:t>
      </w:r>
    </w:p>
    <w:p>
      <w:pPr>
        <w:pStyle w:val="null3"/>
        <w:ind w:firstLine="480"/>
        <w:jc w:val="left"/>
      </w:pPr>
      <w:r>
        <w:rPr/>
        <w:t>福建省禁毒委员会办公室</w:t>
      </w:r>
      <w:r>
        <w:rPr/>
        <w:t xml:space="preserve"> 已根据政府采购相关法律法规，经相应程序确定采用 竞争性磋商 方式组织 </w:t>
      </w:r>
      <w:r>
        <w:rPr/>
        <w:t>全省禁毒工作群众满意度调查</w:t>
      </w:r>
      <w:r>
        <w:rPr/>
        <w:t xml:space="preserve"> 项目（以下简称：“本项目”）的政府采购活动， </w:t>
      </w:r>
      <w:r>
        <w:rPr/>
        <w:t>现欢迎国内合格的供应商前来参加。</w:t>
      </w:r>
      <w:r>
        <w:rPr/>
        <w:t xml:space="preserve"> 本项目由采购人委托 </w:t>
      </w:r>
      <w:r>
        <w:rPr/>
        <w:t>福建联审工程管理咨询有限公司</w:t>
      </w:r>
      <w:r>
        <w:rPr/>
        <w:t xml:space="preserve"> 开展竞争性磋商活动。</w:t>
      </w:r>
    </w:p>
    <w:p>
      <w:pPr>
        <w:pStyle w:val="null3"/>
        <w:ind w:firstLine="480"/>
        <w:jc w:val="left"/>
        <w:outlineLvl w:val="2"/>
      </w:pPr>
      <w:r>
        <w:rPr>
          <w:sz w:val="28"/>
          <w:b/>
        </w:rPr>
        <w:t>1.项目名称</w:t>
      </w:r>
      <w:r>
        <w:rPr>
          <w:sz w:val="28"/>
          <w:b/>
        </w:rPr>
        <w:t xml:space="preserve">： </w:t>
      </w:r>
      <w:r>
        <w:rPr>
          <w:sz w:val="28"/>
          <w:b/>
        </w:rPr>
        <w:t>全省禁毒工作群众满意度调查</w:t>
      </w:r>
    </w:p>
    <w:p>
      <w:pPr>
        <w:pStyle w:val="null3"/>
        <w:ind w:firstLine="480"/>
        <w:jc w:val="left"/>
        <w:outlineLvl w:val="2"/>
      </w:pPr>
      <w:r>
        <w:rPr>
          <w:sz w:val="28"/>
          <w:b/>
        </w:rPr>
        <w:t>2.备案编号</w:t>
      </w:r>
      <w:r>
        <w:rPr>
          <w:sz w:val="28"/>
          <w:b/>
        </w:rPr>
        <w:t xml:space="preserve">： </w:t>
      </w:r>
      <w:r>
        <w:rPr>
          <w:sz w:val="28"/>
          <w:b/>
        </w:rPr>
        <w:t>CGXM-2024-350001-09647[2024]07761</w:t>
      </w:r>
    </w:p>
    <w:p>
      <w:pPr>
        <w:pStyle w:val="null3"/>
        <w:ind w:firstLine="480"/>
        <w:jc w:val="left"/>
        <w:outlineLvl w:val="2"/>
      </w:pPr>
      <w:r>
        <w:rPr>
          <w:sz w:val="28"/>
          <w:b/>
        </w:rPr>
        <w:t>3.项目编号</w:t>
      </w:r>
      <w:r>
        <w:rPr>
          <w:sz w:val="28"/>
          <w:b/>
        </w:rPr>
        <w:t xml:space="preserve">： </w:t>
      </w:r>
      <w:r>
        <w:rPr>
          <w:sz w:val="28"/>
          <w:b/>
        </w:rPr>
        <w:t>[350001]LSGC[CS]2024003</w:t>
      </w:r>
    </w:p>
    <w:p>
      <w:pPr>
        <w:pStyle w:val="null3"/>
        <w:ind w:firstLine="480"/>
        <w:jc w:val="left"/>
        <w:outlineLvl w:val="2"/>
      </w:pPr>
      <w:r>
        <w:rPr>
          <w:sz w:val="28"/>
          <w:b/>
        </w:rPr>
        <w:t>4.采购内容及要求：</w:t>
      </w:r>
    </w:p>
    <w:p>
      <w:pPr>
        <w:pStyle w:val="null3"/>
        <w:ind w:firstLine="960"/>
        <w:jc w:val="left"/>
      </w:pPr>
      <w:r>
        <w:rPr/>
        <w:t>采购包1：</w:t>
      </w:r>
    </w:p>
    <w:p>
      <w:pPr>
        <w:pStyle w:val="null3"/>
        <w:jc w:val="left"/>
      </w:pPr>
      <w:r>
        <w:rPr/>
        <w:t>采购包预算金额（元）: 400,000.00</w:t>
      </w:r>
    </w:p>
    <w:p>
      <w:pPr>
        <w:pStyle w:val="null3"/>
        <w:jc w:val="left"/>
      </w:pPr>
      <w:r>
        <w:rPr/>
        <w:t>采购包最高限价（元）: 400,000.00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全省禁毒工作群众满意度调查</w:t>
            </w:r>
          </w:p>
        </w:tc>
        <w:tc>
          <w:tcPr>
            <w:tcW w:type="dxa" w:w="1187"/>
          </w:tcPr>
          <w:p>
            <w:pPr>
              <w:pStyle w:val="null3"/>
              <w:jc w:val="right"/>
            </w:pPr>
            <w:r>
              <w:rPr/>
              <w:t>1.00</w:t>
            </w:r>
          </w:p>
        </w:tc>
        <w:tc>
          <w:tcPr>
            <w:tcW w:type="dxa" w:w="1187"/>
          </w:tcPr>
          <w:p>
            <w:pPr>
              <w:pStyle w:val="null3"/>
              <w:jc w:val="right"/>
            </w:pPr>
            <w:r>
              <w:rPr/>
              <w:t>400,000.00</w:t>
            </w:r>
          </w:p>
        </w:tc>
        <w:tc>
          <w:tcPr>
            <w:tcW w:type="dxa" w:w="1187"/>
          </w:tcPr>
          <w:p>
            <w:pPr>
              <w:pStyle w:val="null3"/>
              <w:jc w:val="left"/>
            </w:pPr>
            <w:r>
              <w:rPr/>
              <w:t>次</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全省禁毒工作群众满意度调查</w:t>
            </w:r>
          </w:p>
        </w:tc>
        <w:tc>
          <w:tcPr>
            <w:tcW w:type="dxa" w:w="554"/>
          </w:tcPr>
          <w:p>
            <w:pPr>
              <w:pStyle w:val="null3"/>
              <w:jc w:val="left"/>
            </w:pPr>
            <w:r>
              <w:rPr/>
              <w:t>次</w:t>
            </w:r>
          </w:p>
        </w:tc>
        <w:tc>
          <w:tcPr>
            <w:tcW w:type="dxa" w:w="554"/>
          </w:tcPr>
          <w:p>
            <w:pPr>
              <w:pStyle w:val="null3"/>
              <w:jc w:val="left"/>
            </w:pPr>
            <w:r>
              <w:rPr/>
              <w:t>元</w:t>
            </w:r>
          </w:p>
        </w:tc>
        <w:tc>
          <w:tcPr>
            <w:tcW w:type="dxa" w:w="1384"/>
          </w:tcPr>
          <w:p>
            <w:pPr>
              <w:pStyle w:val="null3"/>
              <w:jc w:val="right"/>
            </w:pPr>
            <w:r>
              <w:rPr/>
              <w:t>400,000.00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全省禁毒工作群众满意度调查</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全省禁毒工作群众满意度调查</w:t>
            </w:r>
          </w:p>
        </w:tc>
        <w:tc>
          <w:tcPr>
            <w:tcW w:type="dxa" w:w="2076"/>
          </w:tcPr>
          <w:p>
            <w:pPr>
              <w:pStyle w:val="null3"/>
              <w:jc w:val="left"/>
            </w:pPr>
            <w:r>
              <w:rPr/>
              <w:t>全省禁毒工作群众满意度调查</w:t>
            </w:r>
          </w:p>
        </w:tc>
        <w:tc>
          <w:tcPr>
            <w:tcW w:type="dxa" w:w="415"/>
          </w:tcPr>
          <w:p>
            <w:pPr>
              <w:pStyle w:val="null3"/>
              <w:jc w:val="left"/>
            </w:pPr>
            <w:r>
              <w:rPr/>
              <w:t>次</w:t>
            </w:r>
          </w:p>
        </w:tc>
        <w:tc>
          <w:tcPr>
            <w:tcW w:type="dxa" w:w="415"/>
          </w:tcPr>
          <w:p>
            <w:pPr>
              <w:pStyle w:val="null3"/>
              <w:jc w:val="left"/>
            </w:pPr>
            <w:r>
              <w:rPr/>
              <w:t>元</w:t>
            </w:r>
          </w:p>
        </w:tc>
        <w:tc>
          <w:tcPr>
            <w:tcW w:type="dxa" w:w="831"/>
          </w:tcPr>
          <w:p>
            <w:pPr>
              <w:pStyle w:val="null3"/>
              <w:jc w:val="right"/>
            </w:pPr>
            <w:r>
              <w:rPr/>
              <w:t>400,000.00</w:t>
            </w:r>
          </w:p>
        </w:tc>
        <w:tc>
          <w:tcPr>
            <w:tcW w:type="dxa" w:w="831"/>
          </w:tcPr>
          <w:p>
            <w:pPr>
              <w:pStyle w:val="null3"/>
              <w:jc w:val="left"/>
            </w:pPr>
            <w:r>
              <w:rPr/>
              <w:t>总价</w:t>
            </w:r>
          </w:p>
        </w:tc>
        <w:tc>
          <w:tcPr>
            <w:tcW w:type="dxa" w:w="1246"/>
          </w:tcPr>
          <w:p>
            <w:pPr>
              <w:pStyle w:val="null3"/>
              <w:jc w:val="left"/>
            </w:pPr>
            <w:r>
              <w:rPr/>
              <w:t>无</w:t>
            </w:r>
          </w:p>
        </w:tc>
      </w:tr>
    </w:tbl>
    <w:p>
      <w:pPr>
        <w:pStyle w:val="null3"/>
        <w:ind w:firstLine="480"/>
        <w:jc w:val="left"/>
        <w:outlineLvl w:val="2"/>
      </w:pPr>
      <w:r>
        <w:rPr>
          <w:sz w:val="28"/>
          <w:b/>
        </w:rPr>
        <w:t>5.采购项目需要落实的政府采购政策：</w:t>
      </w:r>
    </w:p>
    <w:p>
      <w:pPr>
        <w:pStyle w:val="null3"/>
        <w:ind w:firstLine="960"/>
        <w:jc w:val="left"/>
      </w:pPr>
      <w:r>
        <w:rPr/>
        <w:t>进口产品：</w:t>
      </w:r>
      <w:r>
        <w:rPr/>
        <w:t>本项目不适用</w:t>
      </w:r>
    </w:p>
    <w:p>
      <w:pPr>
        <w:pStyle w:val="null3"/>
        <w:ind w:firstLine="960"/>
        <w:jc w:val="left"/>
      </w:pPr>
      <w:r>
        <w:rPr/>
        <w:t>节能产品：</w:t>
      </w:r>
      <w:r>
        <w:rPr/>
        <w:t>本项目不适用</w:t>
      </w:r>
    </w:p>
    <w:p>
      <w:pPr>
        <w:pStyle w:val="null3"/>
        <w:ind w:firstLine="960"/>
        <w:jc w:val="left"/>
      </w:pPr>
      <w:r>
        <w:rPr/>
        <w:t>环境标志产品：</w:t>
      </w:r>
      <w:r>
        <w:rPr/>
        <w:t>本项目不适用</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left"/>
        <w:outlineLvl w:val="2"/>
      </w:pPr>
      <w:r>
        <w:rPr>
          <w:sz w:val="28"/>
          <w:b/>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采用资格承诺制的供应商，须根据投标(响应)格式文件要求提供资格承诺函，否则，视为未按照采购文件规定提交供应商的资格及资信文件，按资格审查不合格处理。</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sz w:val="28"/>
          <w:b/>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sz w:val="28"/>
          <w:b/>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福建省禁毒委员会办公室</w:t>
      </w:r>
    </w:p>
    <w:p>
      <w:pPr>
        <w:pStyle w:val="null3"/>
        <w:ind w:firstLine="960"/>
        <w:jc w:val="left"/>
      </w:pPr>
      <w:r>
        <w:rPr/>
        <w:t xml:space="preserve"> 地址： </w:t>
      </w:r>
      <w:r>
        <w:rPr/>
        <w:t>福州市鼓楼区华林路12号</w:t>
      </w:r>
    </w:p>
    <w:p>
      <w:pPr>
        <w:pStyle w:val="null3"/>
        <w:jc w:val="left"/>
      </w:pPr>
      <w:r>
        <w:rPr/>
        <w:t xml:space="preserve"> 邮编： </w:t>
      </w:r>
      <w:r>
        <w:rPr/>
        <w:t>350003</w:t>
      </w:r>
    </w:p>
    <w:p>
      <w:pPr>
        <w:pStyle w:val="null3"/>
        <w:jc w:val="left"/>
      </w:pPr>
      <w:r>
        <w:rPr/>
        <w:t xml:space="preserve"> 联系人： </w:t>
      </w:r>
      <w:r>
        <w:rPr/>
        <w:t>刘先生、游先生</w:t>
      </w:r>
    </w:p>
    <w:p>
      <w:pPr>
        <w:pStyle w:val="null3"/>
        <w:jc w:val="left"/>
      </w:pPr>
      <w:r>
        <w:rPr/>
        <w:t xml:space="preserve"> 联系电话： </w:t>
      </w:r>
      <w:r>
        <w:rPr/>
        <w:t>0591-87094414、0591-87094437</w:t>
      </w:r>
    </w:p>
    <w:p>
      <w:pPr>
        <w:pStyle w:val="null3"/>
        <w:ind w:firstLine="480"/>
        <w:jc w:val="left"/>
        <w:outlineLvl w:val="2"/>
      </w:pPr>
      <w:r>
        <w:rPr>
          <w:sz w:val="28"/>
          <w:b/>
        </w:rPr>
        <w:t>14、代理机构</w:t>
      </w:r>
      <w:r>
        <w:rPr>
          <w:sz w:val="28"/>
          <w:b/>
        </w:rPr>
        <w:t>：</w:t>
      </w:r>
      <w:r>
        <w:rPr>
          <w:sz w:val="28"/>
          <w:b/>
        </w:rPr>
        <w:t>福建联审工程管理咨询有限公司</w:t>
      </w:r>
    </w:p>
    <w:p>
      <w:pPr>
        <w:pStyle w:val="null3"/>
        <w:ind w:firstLine="960"/>
        <w:jc w:val="left"/>
      </w:pPr>
      <w:r>
        <w:rPr/>
        <w:t xml:space="preserve"> 地址： </w:t>
      </w:r>
      <w:r>
        <w:rPr/>
        <w:t>福州市鼓楼区鼓屏路192号山海大厦北面3层</w:t>
      </w:r>
    </w:p>
    <w:p>
      <w:pPr>
        <w:pStyle w:val="null3"/>
        <w:jc w:val="left"/>
      </w:pPr>
      <w:r>
        <w:rPr/>
        <w:t xml:space="preserve"> 邮编： </w:t>
      </w:r>
      <w:r>
        <w:rPr/>
        <w:t>350003</w:t>
      </w:r>
    </w:p>
    <w:p>
      <w:pPr>
        <w:pStyle w:val="null3"/>
        <w:jc w:val="left"/>
      </w:pPr>
      <w:r>
        <w:rPr/>
        <w:t xml:space="preserve"> 联系人： </w:t>
      </w:r>
      <w:r>
        <w:rPr/>
        <w:t>叶晓榕、林榕</w:t>
      </w:r>
    </w:p>
    <w:p>
      <w:pPr>
        <w:pStyle w:val="null3"/>
        <w:jc w:val="left"/>
      </w:pPr>
      <w:r>
        <w:rPr/>
        <w:t xml:space="preserve"> 联系电话： </w:t>
      </w:r>
      <w:r>
        <w:rPr/>
        <w:t>0591-83576559</w:t>
      </w:r>
    </w:p>
    <w:p>
      <w:pPr>
        <w:pStyle w:val="null3"/>
        <w:jc w:val="left"/>
        <w:outlineLvl w:val="2"/>
      </w:pPr>
      <w:r>
        <w:rPr>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福建联审工程管理咨询有限公司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sz w:val="36"/>
          <w:b/>
        </w:rPr>
        <w:t>第二章 竞争性磋商须知</w:t>
      </w:r>
    </w:p>
    <w:p>
      <w:pPr>
        <w:pStyle w:val="null3"/>
        <w:jc w:val="center"/>
        <w:outlineLvl w:val="2"/>
      </w:pPr>
      <w:r>
        <w:rPr>
          <w:sz w:val="28"/>
          <w:b/>
        </w:rPr>
        <w:t>第1节 竞争性磋商须知前附表（表1、表2）</w:t>
      </w:r>
    </w:p>
    <w:p>
      <w:pPr>
        <w:pStyle w:val="null3"/>
        <w:jc w:val="center"/>
        <w:outlineLvl w:val="3"/>
      </w:pPr>
      <w:r>
        <w:rPr>
          <w:sz w:val="24"/>
          <w:b/>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资格承诺函</w:t>
                  </w:r>
                </w:p>
              </w:tc>
              <w:tc>
                <w:tcPr>
                  <w:tcW w:type="dxa" w:w="1418"/>
                </w:tcPr>
                <w:p>
                  <w:pPr>
                    <w:pStyle w:val="null3"/>
                    <w:jc w:val="left"/>
                  </w:pPr>
                  <w:r>
                    <w:rPr/>
                    <w:t>采用资格承诺制的供应商，须根据投标(响应)格式文件要求提供资格承诺函，否则，视为未按照采购文件规定提交供应商的资格及资信文件，按资格审查不合格处理。</w:t>
                  </w:r>
                </w:p>
              </w:tc>
            </w:tr>
          </w:tbl>
          <w:p>
            <w:pPr>
              <w:pStyle w:val="null3"/>
              <w:jc w:val="left"/>
            </w:pPr>
            <w:r>
              <w:rPr/>
              <w:t>（3）磋商保证金</w:t>
            </w:r>
          </w:p>
          <w:p>
            <w:pPr>
              <w:pStyle w:val="null3"/>
              <w:jc w:val="left"/>
            </w:pPr>
            <w:r>
              <w:rPr/>
              <w:t>※备注说明</w:t>
            </w:r>
          </w:p>
          <w:p>
            <w:pPr>
              <w:pStyle w:val="null3"/>
              <w:jc w:val="left"/>
            </w:pPr>
            <w:r>
              <w:rPr/>
              <w:t>①供应商应根据自身实际情况提供上述资格要求的证明材料，格式可参考磋商文件第五章提供。</w:t>
            </w:r>
          </w:p>
          <w:p>
            <w:pPr>
              <w:pStyle w:val="null3"/>
              <w:jc w:val="left"/>
            </w:pPr>
            <w:r>
              <w:rPr/>
              <w:t>②供应商提供的相应证明材料复印件均应符合：内容完整、清晰、整洁，并由供应商加盖其单位公章。</w:t>
            </w:r>
          </w:p>
          <w:p>
            <w:pPr>
              <w:pStyle w:val="null3"/>
              <w:jc w:val="left"/>
            </w:pPr>
            <w:r>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无</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福建省财政厅政府采购监督管理办公室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代理服务费收费标准：①本项目招标代理服务费按3000元包干，向成交人收取。成交人应在领取成交通知书前先以转账或电汇付款方式一次性向招标代理机构缴纳招标代理服务费。 ②服务费汇入账户： 开户名 称：福建联审工程管理咨询有限公司 开户银行：兴业银行福州屏山支行 银行账号：116 020 100 100 021 142。</w:t>
            </w:r>
          </w:p>
          <w:p>
            <w:pPr>
              <w:pStyle w:val="null3"/>
              <w:jc w:val="left"/>
            </w:pPr>
            <w:r>
              <w:rPr/>
              <w:t xml:space="preserve"> (2)其他：</w:t>
            </w:r>
          </w:p>
          <w:p>
            <w:pPr>
              <w:pStyle w:val="null3"/>
              <w:jc w:val="left"/>
            </w:pPr>
            <w:r>
              <w:rPr/>
              <w:t>2.1供应商必须对其响应文件中提供各种资料、说明的真实性负责。在评标过程中，如有发现供应商有为谋取成交而提供虚假资料欺骗采购人和评委的行为，将取消其成交资格。若在成交后和执行合同过程中发现其提供虚假资料的将取消其成交资格，给采购人造成损失的，还必须进行赔偿并负相关责任。评标过程中无论是否有对原件进行核实，供应商都必须对其提供各种资料、说明的真实性负责。 2.2最高限价：本项目采购公告中采购包预算价及品目号预算价为最高限价，报价人超过最高限价的报价为无效报价。根据《中华人民共和国价格法》第六条、第十八条规定，报价人依法有权自主制定属于市场调节的价格，有权根据企业的生产经营成本等自身情况和市场供求状况等外部因素自主定价。 2.3质疑受理的其它要求： ①质疑人递交质疑函时还应出具已在福建省政府采购网上公开信息系统上对本项目成功报名的证明文件（体现报名时间），否则将不被认定为潜在投标供应商，其质疑将不予受理（竞争性磋商文件首次下载之日为质疑人在福建省政府采购网上公开信息系统成功报名之日）。 ②针对同一采购程序环节的质疑应在规定的时限内一次性提出，二次或多次质疑不予受理。 2.4 ①本项目供应商可以选择携带CA证书到开标现场进行解密或选择远程开标。 远程开标：a.若供应商选择远程开标，应远程线上解密（相关操作手册可查看福建省政府采购网首页操作指南）。供应商选择远程线上解密的，无须将CA证书送至开标地点。若供应商选择携带CA证书到开标地点由代理机构进行解密的，应在开标当天首次响应文件递交截止时间前将CA证书送至开标地点否则不予接收。b.供应商不到开标现场的，请在开标时自行登录采购系统，线上参与开标流程，并按规定在相应时段对响应文件进行远程解密、远程签章。 c.供应商应确保自身设施、设备、网络环境状况良好，在操作过程中因供应商自身原因造成无法正常观看开标流程、远程解密或签章的，后果由供应商自行承担。d.在规定的时间内正确提交电子响应文件的供应商在开标时将由系统判定签到情况，供应商应在远程解密开启后在规定时间内使用CA数字证书进行响应文件的解密操作，逾期未解密的视为放弃投标。e.开标结束后，供应商应当对开标结果进行签章，并在远程签章开放后的规定时间内完成，逾期未签章的视为认同开标结果。f.远程解密及远程签章的开放起始时间均在开标过程中临时开启，请供应商务必密切关注实时开标流程，并根据流程在系统内按时操作，否则产生的后果由供应商自行承担。②根据福建省政府采购网供应商操作手册，鉴于福建省政府采购网已具备供应商参加谈判/磋商/协商和供应商报价的功能，除竞争性磋商须知前附表2第⑩条规定外，本项目同时接受供应商线上参与磋商（含最后报价提交），若供应商线上参与报价（含最后报价提交）的，应确保自身设施、设备、网络环境状况良好，线上磋商和提交最后报价环节的开放时间均在评审过程中临时开启，请供应商在开标会结束后及时关注福建省政府采购网系统后台消息，在操作过程中因供应商自身原因造成无法正常参与磋商或进行最后报价的，后果由供应商自行承担。在磋商结束后，供应商须在福建省政府采购网后台提交最后报价（须加盖供应商CA章），且提交最后报价有时间限制。供应商须规定时间内提交最后报价，否则视为无效响应。</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自成交通知书发出之日起30个日历日内。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重大税收违法案件当事人名单</w:t>
            </w:r>
            <w:r>
              <w:rPr/>
              <w:t>的内容修正为下列内容：</w:t>
            </w:r>
          </w:p>
          <w:p>
            <w:pPr>
              <w:pStyle w:val="null3"/>
              <w:jc w:val="left"/>
            </w:pPr>
            <w:r>
              <w:rPr/>
              <w:t>重大税收违法失信主体</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⑪关于首次响应文件递交截止时间过后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⑫其他：</w:t>
            </w:r>
          </w:p>
          <w:p>
            <w:pPr>
              <w:pStyle w:val="null3"/>
              <w:jc w:val="left"/>
            </w:pPr>
            <w:r>
              <w:rPr/>
              <w:t>一、采购文件中关于供应商串通投标情形条款详见《福建省财政厅关于电子化政府采购项目中视为串标情形认定与处理的指导意见》闽财购〔2018〕30号文件规定。 二、在电子响应文件中，涉及“全称”、“供应商代表签字”、“单位负责人签字”的内容可使用打字录入方式完成但必须加盖供应商的CA章。若供应商按照本编列内容第⑦点第b项规定加盖其单位公章，则出现单位负责人未签字或未盖章的情形，不视为投标无效。</w:t>
            </w:r>
          </w:p>
          <w:p>
            <w:pPr>
              <w:pStyle w:val="null3"/>
              <w:jc w:val="left"/>
            </w:pPr>
            <w:r>
              <w:rPr/>
              <w:t>（与电子竞争性磋商活动有关的其他规定或补充内容可在此处填写）。</w:t>
            </w:r>
          </w:p>
        </w:tc>
      </w:tr>
    </w:tbl>
    <w:p>
      <w:pPr>
        <w:pStyle w:val="null3"/>
        <w:jc w:val="center"/>
        <w:outlineLvl w:val="2"/>
      </w:pPr>
      <w:r>
        <w:rPr>
          <w:sz w:val="28"/>
          <w:b/>
        </w:rPr>
        <w:t>专项附件： 评审的标准和方法</w:t>
      </w:r>
    </w:p>
    <w:p>
      <w:pPr>
        <w:pStyle w:val="null3"/>
        <w:jc w:val="center"/>
        <w:outlineLvl w:val="2"/>
      </w:pPr>
      <w:r>
        <w:rPr>
          <w:sz w:val="28"/>
          <w:b/>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sz w:val="28"/>
          <w:b/>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sz w:val="28"/>
          <w:b/>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满分为10.0000分</w:t>
      </w:r>
    </w:p>
    <w:p>
      <w:pPr>
        <w:pStyle w:val="null3"/>
        <w:jc w:val="left"/>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r>
        <w:tc>
          <w:tcPr>
            <w:tcW w:type="dxa" w:w="1661"/>
          </w:tcPr>
          <w:p>
            <w:pPr>
              <w:pStyle w:val="null3"/>
              <w:jc w:val="left"/>
            </w:pPr>
            <w:r>
              <w:rPr/>
              <w:t>小型、微型企业，监狱企业，残疾人福利性单位</w:t>
            </w:r>
          </w:p>
        </w:tc>
        <w:tc>
          <w:tcPr>
            <w:tcW w:type="dxa" w:w="1661"/>
          </w:tcPr>
          <w:p>
            <w:pPr>
              <w:pStyle w:val="null3"/>
              <w:jc w:val="left"/>
            </w:pPr>
            <w:r>
              <w:rPr/>
              <w:t>投标人或者联合体均为小型、微型企业</w:t>
            </w:r>
          </w:p>
        </w:tc>
        <w:tc>
          <w:tcPr>
            <w:tcW w:type="dxa" w:w="831"/>
          </w:tcPr>
          <w:p>
            <w:pPr>
              <w:pStyle w:val="null3"/>
              <w:jc w:val="right"/>
            </w:pPr>
            <w:r>
              <w:rPr/>
              <w:t>15.0000%</w:t>
            </w:r>
          </w:p>
        </w:tc>
        <w:tc>
          <w:tcPr>
            <w:tcW w:type="dxa" w:w="4153"/>
          </w:tcPr>
          <w:p>
            <w:pPr>
              <w:pStyle w:val="null3"/>
              <w:jc w:val="left"/>
            </w:pPr>
            <w:r>
              <w:rPr/>
              <w:t>1、根据《关于印发&lt;政府采购促进中小企业发展管理办法&gt;的通知》（财库〔2020〕46号）、《福建省财政厅关于进一步加大政府采购支持中小企业力度的通知》（闽财规〔2022〕13 号）文件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投标人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本项目将对符合本办法规定的小微企业报价给予15%的扣除，用扣除后的价格参加评审，残疾人集中就业企业、监狱企业视同小微企业，享受评审中价格扣除的政府采购政策。中小微企业适用价格扣除办法时应提供《中小企业声明函》，否则不予价格扣除。 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 3、根据《财政部 民政部 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残疾人福利性单位属于小型、微型企业的，不重复享受政策，按残疾人福利性单位价格扣除标准执行。【注：①本项目为服务类采购项目，价格扣除适用的声明函为“中小企业声明函（工程、服务）”，供应商应认真对照《关于印发中小企业划型标准规定的通知》(工信部联企[2011]300号) 规定的划分标准，准确划分企业类型。②依据本办法规定享受扶持政策获得政府采购合同的，小微企业不得将合同分包给大中型企业，中型企业不得将合同分包给大型企业。③同时满足不同比例的价格扣除优惠条件的，按扣除比例高的进行扣除。】</w:t>
            </w:r>
          </w:p>
        </w:tc>
      </w:tr>
    </w:tbl>
    <w:p>
      <w:pPr>
        <w:pStyle w:val="null3"/>
        <w:jc w:val="left"/>
      </w:pPr>
      <w:r>
        <w:rPr/>
        <w:t>其他：无</w:t>
      </w:r>
    </w:p>
    <w:p>
      <w:pPr>
        <w:pStyle w:val="null3"/>
        <w:jc w:val="left"/>
      </w:pPr>
      <w:r>
        <w:rPr/>
        <w:t>技术部分评分PT 满分为69.0000分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1.响应情况</w:t>
            </w:r>
          </w:p>
        </w:tc>
        <w:tc>
          <w:tcPr>
            <w:tcW w:type="dxa" w:w="831"/>
          </w:tcPr>
          <w:p>
            <w:pPr>
              <w:pStyle w:val="null3"/>
              <w:jc w:val="right"/>
            </w:pPr>
            <w:r>
              <w:rPr/>
              <w:t>36.0000</w:t>
            </w:r>
          </w:p>
        </w:tc>
        <w:tc>
          <w:tcPr>
            <w:tcW w:type="dxa" w:w="4153"/>
          </w:tcPr>
          <w:p>
            <w:pPr>
              <w:pStyle w:val="null3"/>
              <w:jc w:val="left"/>
            </w:pPr>
            <w:r>
              <w:rPr/>
              <w:t>根据供应商对磋商文件第三章采购内容及要求的投标响应情况进行打分：以每一序号项为一项计分条款，完全满足磋商文件要求的得36分，共计19个序号项（含1项“★”），常规参数18项每负偏离一项扣2分，重要参数标注“★”的序号项负偏离视为无效响应。</w:t>
            </w:r>
          </w:p>
        </w:tc>
      </w:tr>
      <w:tr>
        <w:tc>
          <w:tcPr>
            <w:tcW w:type="dxa" w:w="3322"/>
          </w:tcPr>
          <w:p>
            <w:pPr>
              <w:pStyle w:val="null3"/>
              <w:jc w:val="left"/>
            </w:pPr>
            <w:r>
              <w:rPr/>
              <w:t>2.服务质量控制情况</w:t>
            </w:r>
          </w:p>
        </w:tc>
        <w:tc>
          <w:tcPr>
            <w:tcW w:type="dxa" w:w="831"/>
          </w:tcPr>
          <w:p>
            <w:pPr>
              <w:pStyle w:val="null3"/>
              <w:jc w:val="right"/>
            </w:pPr>
            <w:r>
              <w:rPr/>
              <w:t>3.0000</w:t>
            </w:r>
          </w:p>
        </w:tc>
        <w:tc>
          <w:tcPr>
            <w:tcW w:type="dxa" w:w="4153"/>
          </w:tcPr>
          <w:p>
            <w:pPr>
              <w:pStyle w:val="null3"/>
              <w:jc w:val="left"/>
            </w:pPr>
            <w:r>
              <w:rPr/>
              <w:t>根据供应商针对本项目服务质量控制情况，由磋商小组进行评审，方案内容完整、重点突出、结构严谨、符合本项目情况、合理、可操作性强的得3分；方案内容基本完整合理、能把握重点，可操作性较强的得2.9分；方案内容存在缺漏，但基本能把握重点，可操作性弱的得2.8分；未提供不得分。</w:t>
            </w:r>
          </w:p>
        </w:tc>
      </w:tr>
      <w:tr>
        <w:tc>
          <w:tcPr>
            <w:tcW w:type="dxa" w:w="3322"/>
          </w:tcPr>
          <w:p>
            <w:pPr>
              <w:pStyle w:val="null3"/>
              <w:jc w:val="left"/>
            </w:pPr>
            <w:r>
              <w:rPr/>
              <w:t>3.项目背景</w:t>
            </w:r>
          </w:p>
        </w:tc>
        <w:tc>
          <w:tcPr>
            <w:tcW w:type="dxa" w:w="831"/>
          </w:tcPr>
          <w:p>
            <w:pPr>
              <w:pStyle w:val="null3"/>
              <w:jc w:val="right"/>
            </w:pPr>
            <w:r>
              <w:rPr/>
              <w:t>3.0000</w:t>
            </w:r>
          </w:p>
        </w:tc>
        <w:tc>
          <w:tcPr>
            <w:tcW w:type="dxa" w:w="4153"/>
          </w:tcPr>
          <w:p>
            <w:pPr>
              <w:pStyle w:val="null3"/>
              <w:jc w:val="left"/>
            </w:pPr>
            <w:r>
              <w:rPr/>
              <w:t>根据供应商针对本项目的理解情况、项目背景结合本项目需求情况进行重难点分析，由磋商小组进行评审，对项目理解透彻、全面、完整且熟知本项目具体要求、情况分析到位、符合现状、内容合理的得3分；对项目理解较为透彻、较为全面、较为完整且了解本项目具体要求、较符合现状、内容较合理的得2.9分；对项目理解一般，方案合理性、可行性一般的得2.8分；未提供不得分。须提供方案。</w:t>
            </w:r>
          </w:p>
        </w:tc>
      </w:tr>
      <w:tr>
        <w:tc>
          <w:tcPr>
            <w:tcW w:type="dxa" w:w="3322"/>
          </w:tcPr>
          <w:p>
            <w:pPr>
              <w:pStyle w:val="null3"/>
              <w:jc w:val="left"/>
            </w:pPr>
            <w:r>
              <w:rPr/>
              <w:t>4.工作实施进度计划</w:t>
            </w:r>
          </w:p>
        </w:tc>
        <w:tc>
          <w:tcPr>
            <w:tcW w:type="dxa" w:w="831"/>
          </w:tcPr>
          <w:p>
            <w:pPr>
              <w:pStyle w:val="null3"/>
              <w:jc w:val="right"/>
            </w:pPr>
            <w:r>
              <w:rPr/>
              <w:t>3.0000</w:t>
            </w:r>
          </w:p>
        </w:tc>
        <w:tc>
          <w:tcPr>
            <w:tcW w:type="dxa" w:w="4153"/>
          </w:tcPr>
          <w:p>
            <w:pPr>
              <w:pStyle w:val="null3"/>
              <w:jc w:val="left"/>
            </w:pPr>
            <w:r>
              <w:rPr/>
              <w:t>根据供应商结合采购项目实际制订的工作实施进度计划的合理性、时效性等情况，由磋商小组进行评分：方案内容完整、重点突出、结构严谨、符合本项目情况、合理、可操作性强的得3分；方案内容基本完整合理、能把握重点，可操作性较强的得2.8分；方案内容存在缺漏，但基本能把握重点，可操作性弱的得2.6分；未提供不得分。</w:t>
            </w:r>
          </w:p>
        </w:tc>
      </w:tr>
      <w:tr>
        <w:tc>
          <w:tcPr>
            <w:tcW w:type="dxa" w:w="3322"/>
          </w:tcPr>
          <w:p>
            <w:pPr>
              <w:pStyle w:val="null3"/>
              <w:jc w:val="left"/>
            </w:pPr>
            <w:r>
              <w:rPr/>
              <w:t>5.调查方式方法</w:t>
            </w:r>
          </w:p>
        </w:tc>
        <w:tc>
          <w:tcPr>
            <w:tcW w:type="dxa" w:w="831"/>
          </w:tcPr>
          <w:p>
            <w:pPr>
              <w:pStyle w:val="null3"/>
              <w:jc w:val="right"/>
            </w:pPr>
            <w:r>
              <w:rPr/>
              <w:t>3.0000</w:t>
            </w:r>
          </w:p>
        </w:tc>
        <w:tc>
          <w:tcPr>
            <w:tcW w:type="dxa" w:w="4153"/>
          </w:tcPr>
          <w:p>
            <w:pPr>
              <w:pStyle w:val="null3"/>
              <w:jc w:val="left"/>
            </w:pPr>
            <w:r>
              <w:rPr/>
              <w:t>根据供应商针对本项目所使用的调查方式方法的方案，由磋商小组进行评审方案内容完整、重点突出、结构严谨、符合本项目情况、合理、可操作性强的得3分；方案内容基本完整合理、能把握重点，可操作性较强的得2.8分；方案内容存在缺漏，但基本能把握重点，可操作性弱的得2.6分；未提供不得分。</w:t>
            </w:r>
          </w:p>
        </w:tc>
      </w:tr>
      <w:tr>
        <w:tc>
          <w:tcPr>
            <w:tcW w:type="dxa" w:w="3322"/>
          </w:tcPr>
          <w:p>
            <w:pPr>
              <w:pStyle w:val="null3"/>
              <w:jc w:val="left"/>
            </w:pPr>
            <w:r>
              <w:rPr/>
              <w:t>6.岗位及人员配备</w:t>
            </w:r>
          </w:p>
        </w:tc>
        <w:tc>
          <w:tcPr>
            <w:tcW w:type="dxa" w:w="831"/>
          </w:tcPr>
          <w:p>
            <w:pPr>
              <w:pStyle w:val="null3"/>
              <w:jc w:val="right"/>
            </w:pPr>
            <w:r>
              <w:rPr/>
              <w:t>3.0000</w:t>
            </w:r>
          </w:p>
        </w:tc>
        <w:tc>
          <w:tcPr>
            <w:tcW w:type="dxa" w:w="4153"/>
          </w:tcPr>
          <w:p>
            <w:pPr>
              <w:pStyle w:val="null3"/>
              <w:jc w:val="left"/>
            </w:pPr>
            <w:r>
              <w:rPr/>
              <w:t>根据供应商针对本项目的实际情况，提供的岗位设置、配备人数是否合适、职责分工是否明确等情况，由磋商小组进行评议：方案内容完整、重点突出、结构严谨、符合本项目情况、合理、可操作性强的得3分；方案内容基本完整合理、能把握重点，可操作性较强的得2.9分；方案内容存在缺漏，但基本能把握重点，可操作性弱的得2.8分；未提供不得分。</w:t>
            </w:r>
          </w:p>
        </w:tc>
      </w:tr>
      <w:tr>
        <w:tc>
          <w:tcPr>
            <w:tcW w:type="dxa" w:w="3322"/>
          </w:tcPr>
          <w:p>
            <w:pPr>
              <w:pStyle w:val="null3"/>
              <w:jc w:val="left"/>
            </w:pPr>
            <w:r>
              <w:rPr/>
              <w:t>7.调查问卷</w:t>
            </w:r>
          </w:p>
        </w:tc>
        <w:tc>
          <w:tcPr>
            <w:tcW w:type="dxa" w:w="831"/>
          </w:tcPr>
          <w:p>
            <w:pPr>
              <w:pStyle w:val="null3"/>
              <w:jc w:val="right"/>
            </w:pPr>
            <w:r>
              <w:rPr/>
              <w:t>3.0000</w:t>
            </w:r>
          </w:p>
        </w:tc>
        <w:tc>
          <w:tcPr>
            <w:tcW w:type="dxa" w:w="4153"/>
          </w:tcPr>
          <w:p>
            <w:pPr>
              <w:pStyle w:val="null3"/>
              <w:jc w:val="left"/>
            </w:pPr>
            <w:r>
              <w:rPr/>
              <w:t>根据供应商针对本项目设计的调查问卷格式及内容，由磋商小组进行评审，内容设置合理、页面布局多样、数据信息丰富的得3分；内容设置较合理、页面布局存在些许改进、数据信息较丰富的得2.9分；内容设置一般、页面布局一般、可行性一般的得2.8分；未提供不得分。</w:t>
            </w:r>
          </w:p>
        </w:tc>
      </w:tr>
      <w:tr>
        <w:tc>
          <w:tcPr>
            <w:tcW w:type="dxa" w:w="3322"/>
          </w:tcPr>
          <w:p>
            <w:pPr>
              <w:pStyle w:val="null3"/>
              <w:jc w:val="left"/>
            </w:pPr>
            <w:r>
              <w:rPr/>
              <w:t>8.保密把控情况</w:t>
            </w:r>
          </w:p>
        </w:tc>
        <w:tc>
          <w:tcPr>
            <w:tcW w:type="dxa" w:w="831"/>
          </w:tcPr>
          <w:p>
            <w:pPr>
              <w:pStyle w:val="null3"/>
              <w:jc w:val="right"/>
            </w:pPr>
            <w:r>
              <w:rPr/>
              <w:t>3.0000</w:t>
            </w:r>
          </w:p>
        </w:tc>
        <w:tc>
          <w:tcPr>
            <w:tcW w:type="dxa" w:w="4153"/>
          </w:tcPr>
          <w:p>
            <w:pPr>
              <w:pStyle w:val="null3"/>
              <w:jc w:val="left"/>
            </w:pPr>
            <w:r>
              <w:rPr/>
              <w:t>根据供应商针对本项目调查事项前后、过程中的保密把控情况，由磋商小组进行评审，方案内容完整、重点突出、结构严谨、符合本项目情况、合理、可操作性强的得3分；方案内容基本完整合理、能把握重点，可操作性较强的得2.9分；方案内容存在缺漏，但基本能把握重点，可操作性弱的得2.8分；未提供不得分。</w:t>
            </w:r>
          </w:p>
        </w:tc>
      </w:tr>
      <w:tr>
        <w:tc>
          <w:tcPr>
            <w:tcW w:type="dxa" w:w="3322"/>
          </w:tcPr>
          <w:p>
            <w:pPr>
              <w:pStyle w:val="null3"/>
              <w:jc w:val="left"/>
            </w:pPr>
            <w:r>
              <w:rPr/>
              <w:t>9.抽样方案</w:t>
            </w:r>
          </w:p>
        </w:tc>
        <w:tc>
          <w:tcPr>
            <w:tcW w:type="dxa" w:w="831"/>
          </w:tcPr>
          <w:p>
            <w:pPr>
              <w:pStyle w:val="null3"/>
              <w:jc w:val="right"/>
            </w:pPr>
            <w:r>
              <w:rPr/>
              <w:t>3.0000</w:t>
            </w:r>
          </w:p>
        </w:tc>
        <w:tc>
          <w:tcPr>
            <w:tcW w:type="dxa" w:w="4153"/>
          </w:tcPr>
          <w:p>
            <w:pPr>
              <w:pStyle w:val="null3"/>
              <w:jc w:val="left"/>
            </w:pPr>
            <w:r>
              <w:rPr/>
              <w:t>根据供应商结合采购需求，对于项目数据采集过程应当设计科学严谨的抽样方案，包括但不限于如何确定采集对象的属性、来源、范围、年龄层次等相关问题，确保抽样调查的合理性和代表性，抽样方案科学合理、可操作性强的得3分；抽样方案较科学较合理、可操作性较强的得2.9分； 方案合理性一般、可行性一般的得2.8分；未提供不得分。</w:t>
            </w:r>
          </w:p>
        </w:tc>
      </w:tr>
      <w:tr>
        <w:tc>
          <w:tcPr>
            <w:tcW w:type="dxa" w:w="3322"/>
          </w:tcPr>
          <w:p>
            <w:pPr>
              <w:pStyle w:val="null3"/>
              <w:jc w:val="left"/>
            </w:pPr>
            <w:r>
              <w:rPr/>
              <w:t>10.项目组成人员1</w:t>
            </w:r>
          </w:p>
        </w:tc>
        <w:tc>
          <w:tcPr>
            <w:tcW w:type="dxa" w:w="831"/>
          </w:tcPr>
          <w:p>
            <w:pPr>
              <w:pStyle w:val="null3"/>
              <w:jc w:val="right"/>
            </w:pPr>
            <w:r>
              <w:rPr/>
              <w:t>3.0000</w:t>
            </w:r>
          </w:p>
        </w:tc>
        <w:tc>
          <w:tcPr>
            <w:tcW w:type="dxa" w:w="4153"/>
          </w:tcPr>
          <w:p>
            <w:pPr>
              <w:pStyle w:val="null3"/>
              <w:jc w:val="left"/>
            </w:pPr>
            <w:r>
              <w:rPr/>
              <w:t>根据供应商拟派驻本项目的项目负责人为本科或本科以上学历且具有高级统计师职称得1分；在CN刊物上以第一作者（含共同第一作者）或通讯作者身份发表过文章的，1篇得1分，最多得2分；同一内容在不同刊物、期刊出版的按1篇计分。供应商须提供①有效的证书复印件、②投标截止时间前6个月任一个月（不含投标截止时间当月）供应商为其缴纳社保的证明材料（社保证明应至少包含养老保险，并加盖社保部门公章或电子章）、③刊物、期刊的封面、版权页、目录页、相关文章所在页，以上材料缺一不可，否则不得分。</w:t>
            </w:r>
          </w:p>
        </w:tc>
      </w:tr>
      <w:tr>
        <w:tc>
          <w:tcPr>
            <w:tcW w:type="dxa" w:w="3322"/>
          </w:tcPr>
          <w:p>
            <w:pPr>
              <w:pStyle w:val="null3"/>
              <w:jc w:val="left"/>
            </w:pPr>
            <w:r>
              <w:rPr/>
              <w:t>11.项目组成人员2</w:t>
            </w:r>
          </w:p>
        </w:tc>
        <w:tc>
          <w:tcPr>
            <w:tcW w:type="dxa" w:w="831"/>
          </w:tcPr>
          <w:p>
            <w:pPr>
              <w:pStyle w:val="null3"/>
              <w:jc w:val="right"/>
            </w:pPr>
            <w:r>
              <w:rPr/>
              <w:t>3.0000</w:t>
            </w:r>
          </w:p>
        </w:tc>
        <w:tc>
          <w:tcPr>
            <w:tcW w:type="dxa" w:w="4153"/>
          </w:tcPr>
          <w:p>
            <w:pPr>
              <w:pStyle w:val="null3"/>
              <w:jc w:val="left"/>
            </w:pPr>
            <w:r>
              <w:rPr/>
              <w:t>供应商拟投入本项目的项目组其他成员有3个（项目负责人除外）具有初级统计师或初级以上职称的，且取得年限≥5周年的（以证书的注册时间为准）的得1分，每增加1个得1分，本项最多得3分。须提供有效的证书复印件及投标截止时间前6个月任一个月（不含投标截止时间当月）供应商为其缴纳社保的证明材料（社保证明应至少包含养老保险，并加盖社保部门公章或电子章）。</w:t>
            </w:r>
          </w:p>
        </w:tc>
      </w:tr>
      <w:tr>
        <w:tc>
          <w:tcPr>
            <w:tcW w:type="dxa" w:w="3322"/>
          </w:tcPr>
          <w:p>
            <w:pPr>
              <w:pStyle w:val="null3"/>
              <w:jc w:val="left"/>
            </w:pPr>
            <w:r>
              <w:rPr/>
              <w:t>12.调查报告预期展示效果</w:t>
            </w:r>
          </w:p>
        </w:tc>
        <w:tc>
          <w:tcPr>
            <w:tcW w:type="dxa" w:w="831"/>
          </w:tcPr>
          <w:p>
            <w:pPr>
              <w:pStyle w:val="null3"/>
              <w:jc w:val="right"/>
            </w:pPr>
            <w:r>
              <w:rPr/>
              <w:t>3.0000</w:t>
            </w:r>
          </w:p>
        </w:tc>
        <w:tc>
          <w:tcPr>
            <w:tcW w:type="dxa" w:w="4153"/>
          </w:tcPr>
          <w:p>
            <w:pPr>
              <w:pStyle w:val="null3"/>
              <w:jc w:val="left"/>
            </w:pPr>
            <w:r>
              <w:rPr/>
              <w:t>通过预调查获得数据或者模拟数据形成的调查报告预期展示。调查报告示例结构清晰、图文并茂，印刷版面质量高，得3分；调查报告示例结构较为清晰、图文效果较高，印刷版面质量较高，得2.9分；调查报告示例结构相对清晰、图文尚可，印刷版面质量普通，得2.8分；未提供不得分。</w:t>
            </w:r>
          </w:p>
        </w:tc>
      </w:tr>
    </w:tbl>
    <w:p>
      <w:pPr>
        <w:pStyle w:val="null3"/>
        <w:jc w:val="left"/>
      </w:pPr>
      <w:r>
        <w:rPr/>
        <w:t>商务部分评分PB 满分为21.0000分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1.同类项目业绩</w:t>
            </w:r>
          </w:p>
        </w:tc>
        <w:tc>
          <w:tcPr>
            <w:tcW w:type="dxa" w:w="831"/>
          </w:tcPr>
          <w:p>
            <w:pPr>
              <w:pStyle w:val="null3"/>
              <w:jc w:val="right"/>
            </w:pPr>
            <w:r>
              <w:rPr/>
              <w:t>3.0000</w:t>
            </w:r>
          </w:p>
        </w:tc>
        <w:tc>
          <w:tcPr>
            <w:tcW w:type="dxa" w:w="4153"/>
          </w:tcPr>
          <w:p>
            <w:pPr>
              <w:pStyle w:val="null3"/>
              <w:jc w:val="left"/>
            </w:pPr>
            <w:r>
              <w:rPr/>
              <w:t>自2022年1月1日起至投标截止时间止（日期以合同签订时间为准），供应商独立承办过政府部门委托的覆盖全国或全省（含自治区、直辖市）范围内的满意度调查相关业绩，每提供一项得0.5分，最高得3分。备注：须同时提供相关业绩项目的合同文本复印件、验收报告或能够证明该业绩项目已经采购人验收合格的相关证明文件复印件。未同时提供的不得分。</w:t>
            </w:r>
          </w:p>
        </w:tc>
      </w:tr>
      <w:tr>
        <w:tc>
          <w:tcPr>
            <w:tcW w:type="dxa" w:w="3322"/>
          </w:tcPr>
          <w:p>
            <w:pPr>
              <w:pStyle w:val="null3"/>
              <w:jc w:val="left"/>
            </w:pPr>
            <w:r>
              <w:rPr/>
              <w:t>2.满意度</w:t>
            </w:r>
          </w:p>
        </w:tc>
        <w:tc>
          <w:tcPr>
            <w:tcW w:type="dxa" w:w="831"/>
          </w:tcPr>
          <w:p>
            <w:pPr>
              <w:pStyle w:val="null3"/>
              <w:jc w:val="right"/>
            </w:pPr>
            <w:r>
              <w:rPr/>
              <w:t>3.0000</w:t>
            </w:r>
          </w:p>
        </w:tc>
        <w:tc>
          <w:tcPr>
            <w:tcW w:type="dxa" w:w="4153"/>
          </w:tcPr>
          <w:p>
            <w:pPr>
              <w:pStyle w:val="null3"/>
              <w:jc w:val="left"/>
            </w:pPr>
            <w:r>
              <w:rPr/>
              <w:t>根据供应商自2022年1月1日起至投标截止时间止（日期以合同签订时间为准），由供应商完成的同类项目的满意程度评价情况进行评分：每提供一份评价为“满意”或“优”等同意义证明材料的得1分,满分3分。（需提供合同复印件以及业主满意度表，资料未完整（缺任何之一的）的不得分，提供多份同一单位的按一份计算，与“1.同类项目业绩”不重复得分）。</w:t>
            </w:r>
          </w:p>
        </w:tc>
      </w:tr>
      <w:tr>
        <w:tc>
          <w:tcPr>
            <w:tcW w:type="dxa" w:w="3322"/>
          </w:tcPr>
          <w:p>
            <w:pPr>
              <w:pStyle w:val="null3"/>
              <w:jc w:val="left"/>
            </w:pPr>
            <w:r>
              <w:rPr/>
              <w:t>3.后续服务保障方案</w:t>
            </w:r>
          </w:p>
        </w:tc>
        <w:tc>
          <w:tcPr>
            <w:tcW w:type="dxa" w:w="831"/>
          </w:tcPr>
          <w:p>
            <w:pPr>
              <w:pStyle w:val="null3"/>
              <w:jc w:val="right"/>
            </w:pPr>
            <w:r>
              <w:rPr/>
              <w:t>3.0000</w:t>
            </w:r>
          </w:p>
        </w:tc>
        <w:tc>
          <w:tcPr>
            <w:tcW w:type="dxa" w:w="4153"/>
          </w:tcPr>
          <w:p>
            <w:pPr>
              <w:pStyle w:val="null3"/>
              <w:jc w:val="left"/>
            </w:pPr>
            <w:r>
              <w:rPr/>
              <w:t>根据供应商提供详细的后续服务保障方案，包括承诺的工作进度、服务保证措施与后续服务内容等进行评分：后续服务承诺详尽、合理、完善，工作进度安排合理且最有利于采购人推进相关工作的得3分；有提供后续服务承诺，有利于采购人推进相关工作的得2.8分；提供后续服务承诺，协助采购人推进相关工作方案存在一定瑕疵的得2.6分；未提供的不得分。</w:t>
            </w:r>
          </w:p>
        </w:tc>
      </w:tr>
      <w:tr>
        <w:tc>
          <w:tcPr>
            <w:tcW w:type="dxa" w:w="3322"/>
          </w:tcPr>
          <w:p>
            <w:pPr>
              <w:pStyle w:val="null3"/>
              <w:jc w:val="left"/>
            </w:pPr>
            <w:r>
              <w:rPr/>
              <w:t>4.服务能力</w:t>
            </w:r>
          </w:p>
        </w:tc>
        <w:tc>
          <w:tcPr>
            <w:tcW w:type="dxa" w:w="831"/>
          </w:tcPr>
          <w:p>
            <w:pPr>
              <w:pStyle w:val="null3"/>
              <w:jc w:val="right"/>
            </w:pPr>
            <w:r>
              <w:rPr/>
              <w:t>3.0000</w:t>
            </w:r>
          </w:p>
        </w:tc>
        <w:tc>
          <w:tcPr>
            <w:tcW w:type="dxa" w:w="4153"/>
          </w:tcPr>
          <w:p>
            <w:pPr>
              <w:pStyle w:val="null3"/>
              <w:jc w:val="left"/>
            </w:pPr>
            <w:r>
              <w:rPr/>
              <w:t>为提高受访公众对满意度调查的信任度、参与率，防止对调查工作的主观排斥、负面感观，以致影响调查事项公信度判断和调查结果，供应商在项目实施期间，能够使用区别于普通固定电话、移动电话的短号专线（类似12345便民服务热线电话、12315消费者投诉举报专线电话等）用于本项工作的得3分，须提供能够使用该短号专线的书面证明材料；未提供的不得分。</w:t>
            </w:r>
          </w:p>
        </w:tc>
      </w:tr>
      <w:tr>
        <w:tc>
          <w:tcPr>
            <w:tcW w:type="dxa" w:w="3322"/>
          </w:tcPr>
          <w:p>
            <w:pPr>
              <w:pStyle w:val="null3"/>
              <w:jc w:val="left"/>
            </w:pPr>
            <w:r>
              <w:rPr/>
              <w:t>5.培训方案</w:t>
            </w:r>
          </w:p>
        </w:tc>
        <w:tc>
          <w:tcPr>
            <w:tcW w:type="dxa" w:w="831"/>
          </w:tcPr>
          <w:p>
            <w:pPr>
              <w:pStyle w:val="null3"/>
              <w:jc w:val="right"/>
            </w:pPr>
            <w:r>
              <w:rPr/>
              <w:t>3.0000</w:t>
            </w:r>
          </w:p>
        </w:tc>
        <w:tc>
          <w:tcPr>
            <w:tcW w:type="dxa" w:w="4153"/>
          </w:tcPr>
          <w:p>
            <w:pPr>
              <w:pStyle w:val="null3"/>
              <w:jc w:val="left"/>
            </w:pPr>
            <w:r>
              <w:rPr/>
              <w:t>评审小组根据供应商提供的针对本项目调查人员的培训方案设计情况（包括但不限于培训时间安排、培训内容、培训预期效果等）进行评分，方案中完整的包含上述三项内容且培训时间安排合理、培训内容丰富、方式多样化、培训预期效果理想的得3分；方案中完整的包含上述三项内容且培训时间安排较合理、培训内容较丰富、培训预期效果较理想的得2.8分；方案中内容不完整，培训时间安排较合理、培训内容较单一、培训预期效果一般的得2.6分；未提供不得分。</w:t>
            </w:r>
          </w:p>
        </w:tc>
      </w:tr>
      <w:tr>
        <w:tc>
          <w:tcPr>
            <w:tcW w:type="dxa" w:w="3322"/>
          </w:tcPr>
          <w:p>
            <w:pPr>
              <w:pStyle w:val="null3"/>
              <w:jc w:val="left"/>
            </w:pPr>
            <w:r>
              <w:rPr/>
              <w:t>6.企业实力</w:t>
            </w:r>
          </w:p>
        </w:tc>
        <w:tc>
          <w:tcPr>
            <w:tcW w:type="dxa" w:w="831"/>
          </w:tcPr>
          <w:p>
            <w:pPr>
              <w:pStyle w:val="null3"/>
              <w:jc w:val="right"/>
            </w:pPr>
            <w:r>
              <w:rPr/>
              <w:t>3.0000</w:t>
            </w:r>
          </w:p>
        </w:tc>
        <w:tc>
          <w:tcPr>
            <w:tcW w:type="dxa" w:w="4153"/>
          </w:tcPr>
          <w:p>
            <w:pPr>
              <w:pStyle w:val="null3"/>
              <w:jc w:val="left"/>
            </w:pPr>
            <w:r>
              <w:rPr/>
              <w:t>供应商编辑、出版过全国公开发行的出版物，每提供1份得0.5分，最多得3分。同一内容在不同刊物出版的按1份计分。须提供出版物的封面、版权页、目录以及涉及内容。</w:t>
            </w:r>
          </w:p>
        </w:tc>
      </w:tr>
      <w:tr>
        <w:tc>
          <w:tcPr>
            <w:tcW w:type="dxa" w:w="3322"/>
          </w:tcPr>
          <w:p>
            <w:pPr>
              <w:pStyle w:val="null3"/>
              <w:jc w:val="left"/>
            </w:pPr>
            <w:r>
              <w:rPr/>
              <w:t>7.硬件支持</w:t>
            </w:r>
          </w:p>
        </w:tc>
        <w:tc>
          <w:tcPr>
            <w:tcW w:type="dxa" w:w="831"/>
          </w:tcPr>
          <w:p>
            <w:pPr>
              <w:pStyle w:val="null3"/>
              <w:jc w:val="right"/>
            </w:pPr>
            <w:r>
              <w:rPr/>
              <w:t>3.0000</w:t>
            </w:r>
          </w:p>
        </w:tc>
        <w:tc>
          <w:tcPr>
            <w:tcW w:type="dxa" w:w="4153"/>
          </w:tcPr>
          <w:p>
            <w:pPr>
              <w:pStyle w:val="null3"/>
              <w:jc w:val="left"/>
            </w:pPr>
            <w:r>
              <w:rPr/>
              <w:t>供应商拥有电话调查中心，能够很好地满足本项目需求，且能够使用CATI电话调查系统，支持针对不同地区、不同调查对象进行科学抽样、甄别，通过差异化分配答卷以及自动化逻辑校验和实时配额、坐席监控等功能，确保调查的时效性、准确性的得3分，须提供电话调查中心的详细地址、场地照片、外景照片，CATI电话调查系统的功能说明、上述功能的相关界面照片，以及能够证明可以使用该CATI电话调查系统的材料；未提供或提供不齐全的不得分。</w:t>
            </w:r>
          </w:p>
        </w:tc>
      </w:tr>
    </w:tbl>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sz w:val="28"/>
          <w:b/>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sz w:val="28"/>
          <w:b/>
        </w:rPr>
        <w:t>第2节 竞争性磋商须知</w:t>
      </w:r>
    </w:p>
    <w:p>
      <w:pPr>
        <w:pStyle w:val="null3"/>
        <w:jc w:val="center"/>
        <w:outlineLvl w:val="2"/>
      </w:pPr>
      <w:r>
        <w:rPr>
          <w:sz w:val="28"/>
          <w:b/>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sz w:val="28"/>
          <w:b/>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sz w:val="28"/>
          <w:b/>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sz w:val="28"/>
          <w:b/>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供应商必须对竞争性磋商文件“第三章采购内容及要求”中“二、技术要求”逐项进行应答，如实说明偏离情况。未提供《技术和服务要求响应表》，按无效投标处理。（2）不符合竞争性磋商文件中规定的其它实质性要求条款的视为无效投标。（3）技术部分的实际得分少于竞争性磋商文件设定的技术部分总分50%为投标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供应商必须对竞争性磋商文件“第三章采购内容及要求”中“三、商务条件”逐项进行应答，如实说明偏离情况，并提供《商务条件和其它事项响应表》，否则按无效投标处理。投标供应商提供的商务条件均不得低于竞争性磋商文件“商务条件”要求，若负偏离则投标无效。（2）不符合竞争性磋商文件中规定的其它实质性要求条款的视为无效投标。</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sz w:val="28"/>
          <w:b/>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left"/>
        <w:outlineLvl w:val="2"/>
      </w:pPr>
      <w:r>
        <w:rPr>
          <w:sz w:val="28"/>
          <w:b/>
        </w:rPr>
        <w:t>一、（根据本项目实际情况，填写“采购标的”或“项目概况”）</w:t>
      </w:r>
    </w:p>
    <w:p>
      <w:pPr>
        <w:pStyle w:val="null3"/>
        <w:jc w:val="left"/>
        <w:outlineLvl w:val="2"/>
      </w:pPr>
      <w:r>
        <w:rPr>
          <w:rFonts w:ascii="宋体" w:hAnsi="宋体" w:cs="宋体" w:eastAsia="宋体"/>
          <w:sz w:val="24"/>
          <w:b/>
          <w:color w:val="000000"/>
          <w:shd w:fill="FFFFFF" w:val="clear"/>
        </w:rPr>
        <w:t>1.</w:t>
      </w:r>
      <w:r>
        <w:rPr>
          <w:rFonts w:ascii="宋体" w:hAnsi="宋体" w:cs="宋体" w:eastAsia="宋体"/>
          <w:sz w:val="24"/>
          <w:b/>
          <w:color w:val="000000"/>
          <w:shd w:fill="FFFFFF" w:val="clear"/>
        </w:rPr>
        <w:t>本项目为福建省禁毒委员会办公室全省禁毒工作群众满意度调查采购项目</w:t>
      </w:r>
      <w:r>
        <w:rPr>
          <w:rFonts w:ascii="宋体" w:hAnsi="宋体" w:cs="宋体" w:eastAsia="宋体"/>
          <w:sz w:val="24"/>
          <w:b/>
          <w:color w:val="000000"/>
          <w:shd w:fill="FFFFFF" w:val="clear"/>
        </w:rPr>
        <w:t>。</w:t>
      </w:r>
    </w:p>
    <w:p>
      <w:pPr>
        <w:pStyle w:val="null3"/>
        <w:jc w:val="left"/>
        <w:outlineLvl w:val="2"/>
      </w:pPr>
      <w:r>
        <w:rPr>
          <w:rFonts w:ascii="宋体" w:hAnsi="宋体" w:cs="宋体" w:eastAsia="宋体"/>
          <w:sz w:val="24"/>
          <w:b/>
          <w:color w:val="000000"/>
          <w:shd w:fill="FFFFFF" w:val="clear"/>
        </w:rPr>
        <w:t>2.本次采购一招两年，合同一年一签，每年预算金额40万元，两年总额80万元。</w:t>
      </w:r>
    </w:p>
    <w:p>
      <w:pPr>
        <w:pStyle w:val="null3"/>
        <w:jc w:val="left"/>
        <w:outlineLvl w:val="2"/>
      </w:pPr>
      <w:r>
        <w:rPr>
          <w:sz w:val="28"/>
          <w:b/>
        </w:rPr>
        <w:t>二、技术要求</w:t>
      </w:r>
    </w:p>
    <w:p>
      <w:pPr>
        <w:pStyle w:val="null3"/>
        <w:jc w:val="left"/>
      </w:pPr>
      <w:r>
        <w:rPr>
          <w:rFonts w:ascii="宋体" w:hAnsi="宋体" w:cs="宋体" w:eastAsia="宋体"/>
          <w:sz w:val="24"/>
          <w:color w:val="000000"/>
        </w:rPr>
        <w:t>（一）调查目的：</w:t>
      </w:r>
    </w:p>
    <w:p>
      <w:pPr>
        <w:pStyle w:val="null3"/>
        <w:ind w:firstLine="480"/>
        <w:jc w:val="left"/>
      </w:pPr>
      <w:r>
        <w:rPr>
          <w:rFonts w:ascii="宋体" w:hAnsi="宋体" w:cs="宋体" w:eastAsia="宋体"/>
          <w:sz w:val="24"/>
          <w:color w:val="000000"/>
          <w:u w:val="single"/>
        </w:rPr>
        <w:t>序号</w:t>
      </w:r>
      <w:r>
        <w:rPr>
          <w:rFonts w:ascii="宋体" w:hAnsi="宋体" w:cs="宋体" w:eastAsia="宋体"/>
          <w:sz w:val="24"/>
          <w:color w:val="000000"/>
          <w:u w:val="single"/>
        </w:rPr>
        <w:t>1</w:t>
      </w:r>
      <w:r>
        <w:rPr>
          <w:rFonts w:ascii="宋体" w:hAnsi="宋体" w:cs="宋体" w:eastAsia="宋体"/>
          <w:sz w:val="24"/>
          <w:color w:val="000000"/>
        </w:rPr>
        <w:t>通过对全省城乡居民开展抽样调查，全面了解各地群众对禁毒工作主观满意评价，检验全省各地禁毒工作效果。</w:t>
      </w:r>
    </w:p>
    <w:p>
      <w:pPr>
        <w:pStyle w:val="null3"/>
        <w:ind w:firstLine="480"/>
        <w:jc w:val="left"/>
      </w:pPr>
      <w:r>
        <w:rPr>
          <w:rFonts w:ascii="宋体" w:hAnsi="宋体" w:cs="宋体" w:eastAsia="宋体"/>
          <w:sz w:val="24"/>
          <w:color w:val="000000"/>
          <w:u w:val="single"/>
        </w:rPr>
        <w:t>序号</w:t>
      </w:r>
      <w:r>
        <w:rPr>
          <w:rFonts w:ascii="宋体" w:hAnsi="宋体" w:cs="宋体" w:eastAsia="宋体"/>
          <w:sz w:val="24"/>
          <w:color w:val="000000"/>
          <w:u w:val="single"/>
        </w:rPr>
        <w:t>2</w:t>
      </w:r>
      <w:r>
        <w:rPr>
          <w:rFonts w:ascii="宋体" w:hAnsi="宋体" w:cs="宋体" w:eastAsia="宋体"/>
          <w:sz w:val="24"/>
          <w:color w:val="000000"/>
        </w:rPr>
        <w:t>建立健全科学客观的毒情监测预警、禁毒工作评价体系，为分级分类评估、科学治理、有效服务基层禁毒工作提供决策参考。</w:t>
      </w:r>
    </w:p>
    <w:p>
      <w:pPr>
        <w:pStyle w:val="null3"/>
        <w:jc w:val="left"/>
      </w:pPr>
      <w:r>
        <w:rPr>
          <w:rFonts w:ascii="宋体" w:hAnsi="宋体" w:cs="宋体" w:eastAsia="宋体"/>
          <w:sz w:val="24"/>
          <w:color w:val="000000"/>
        </w:rPr>
        <w:t>（二）调查范围及对象：</w:t>
      </w:r>
    </w:p>
    <w:p>
      <w:pPr>
        <w:pStyle w:val="null3"/>
        <w:ind w:firstLine="480"/>
        <w:jc w:val="left"/>
      </w:pPr>
      <w:r>
        <w:rPr>
          <w:rFonts w:ascii="宋体" w:hAnsi="宋体" w:cs="宋体" w:eastAsia="宋体"/>
          <w:sz w:val="24"/>
          <w:color w:val="000000"/>
          <w:u w:val="single"/>
        </w:rPr>
        <w:t>序号</w:t>
      </w:r>
      <w:r>
        <w:rPr>
          <w:rFonts w:ascii="宋体" w:hAnsi="宋体" w:cs="宋体" w:eastAsia="宋体"/>
          <w:sz w:val="24"/>
          <w:color w:val="000000"/>
          <w:u w:val="single"/>
        </w:rPr>
        <w:t>3</w:t>
      </w:r>
      <w:r>
        <w:rPr>
          <w:rFonts w:ascii="宋体" w:hAnsi="宋体" w:cs="宋体" w:eastAsia="宋体"/>
          <w:sz w:val="24"/>
          <w:color w:val="000000"/>
        </w:rPr>
        <w:t>面向全省</w:t>
      </w:r>
      <w:r>
        <w:rPr>
          <w:rFonts w:ascii="宋体" w:hAnsi="宋体" w:cs="宋体" w:eastAsia="宋体"/>
          <w:sz w:val="24"/>
          <w:color w:val="000000"/>
        </w:rPr>
        <w:t>90个县（市、区，包括但不仅限于经济开发区等）的12周岁以上城乡常住人口。</w:t>
      </w:r>
    </w:p>
    <w:p>
      <w:pPr>
        <w:pStyle w:val="null3"/>
        <w:jc w:val="left"/>
      </w:pPr>
      <w:r>
        <w:rPr>
          <w:rFonts w:ascii="宋体" w:hAnsi="宋体" w:cs="宋体" w:eastAsia="宋体"/>
          <w:sz w:val="24"/>
          <w:color w:val="000000"/>
        </w:rPr>
        <w:t>（三）调查项目承办单位技术要求：</w:t>
      </w:r>
    </w:p>
    <w:p>
      <w:pPr>
        <w:pStyle w:val="null3"/>
        <w:ind w:firstLine="480"/>
        <w:jc w:val="left"/>
      </w:pPr>
      <w:r>
        <w:rPr>
          <w:rFonts w:ascii="宋体" w:hAnsi="宋体" w:cs="宋体" w:eastAsia="宋体"/>
          <w:sz w:val="24"/>
          <w:b/>
          <w:color w:val="000000"/>
        </w:rPr>
        <w:t>★</w:t>
      </w:r>
      <w:r>
        <w:rPr>
          <w:rFonts w:ascii="宋体" w:hAnsi="宋体" w:cs="宋体" w:eastAsia="宋体"/>
          <w:sz w:val="24"/>
          <w:b/>
          <w:color w:val="000000"/>
          <w:u w:val="single"/>
        </w:rPr>
        <w:t>序号</w:t>
      </w:r>
      <w:r>
        <w:rPr>
          <w:rFonts w:ascii="宋体" w:hAnsi="宋体" w:cs="宋体" w:eastAsia="宋体"/>
          <w:sz w:val="24"/>
          <w:b/>
          <w:color w:val="000000"/>
          <w:u w:val="single"/>
        </w:rPr>
        <w:t>4</w:t>
      </w:r>
      <w:r>
        <w:rPr>
          <w:rFonts w:ascii="宋体" w:hAnsi="宋体" w:cs="宋体" w:eastAsia="宋体"/>
          <w:sz w:val="24"/>
          <w:b/>
          <w:color w:val="000000"/>
        </w:rPr>
        <w:t>本项目要求承办单</w:t>
      </w:r>
      <w:r>
        <w:rPr>
          <w:rFonts w:ascii="宋体" w:hAnsi="宋体" w:cs="宋体" w:eastAsia="宋体"/>
          <w:sz w:val="24"/>
          <w:b/>
          <w:color w:val="000000"/>
        </w:rPr>
        <w:t>位</w:t>
      </w:r>
      <w:r>
        <w:rPr>
          <w:rFonts w:ascii="宋体" w:hAnsi="宋体" w:cs="宋体" w:eastAsia="宋体"/>
          <w:sz w:val="24"/>
          <w:b/>
          <w:color w:val="000000"/>
        </w:rPr>
        <w:t>具备统计调查或社会调查职能，可以承担社会与统计市场调查工作，</w:t>
      </w:r>
      <w:r>
        <w:rPr>
          <w:rFonts w:ascii="宋体" w:hAnsi="宋体" w:cs="宋体" w:eastAsia="宋体"/>
          <w:sz w:val="24"/>
          <w:b/>
          <w:color w:val="000000"/>
        </w:rPr>
        <w:t>社会信誉良好</w:t>
      </w:r>
      <w:r>
        <w:rPr>
          <w:rFonts w:ascii="宋体" w:hAnsi="宋体" w:cs="宋体" w:eastAsia="宋体"/>
          <w:sz w:val="24"/>
          <w:b/>
          <w:color w:val="000000"/>
        </w:rPr>
        <w:t>，服务质量可靠，独立承办过省级及以上政府部门委托的覆盖全国各省（自治区、直辖市）或者福建省各设区市、平潭综合实验区的满意度调查项目</w:t>
      </w:r>
      <w:r>
        <w:rPr>
          <w:rFonts w:ascii="宋体" w:hAnsi="宋体" w:cs="宋体" w:eastAsia="宋体"/>
          <w:sz w:val="24"/>
          <w:b/>
          <w:color w:val="000000"/>
        </w:rPr>
        <w:t>3次及以上且取得好评评价</w:t>
      </w:r>
      <w:r>
        <w:rPr>
          <w:rFonts w:ascii="宋体" w:hAnsi="宋体" w:cs="宋体" w:eastAsia="宋体"/>
          <w:sz w:val="24"/>
          <w:b/>
          <w:color w:val="000000"/>
        </w:rPr>
        <w:t>，须提供承诺函，格式</w:t>
      </w:r>
      <w:r>
        <w:rPr>
          <w:rFonts w:ascii="宋体" w:hAnsi="宋体" w:cs="宋体" w:eastAsia="宋体"/>
          <w:sz w:val="24"/>
          <w:b/>
          <w:color w:val="000000"/>
        </w:rPr>
        <w:t>自拟</w:t>
      </w:r>
      <w:r>
        <w:rPr>
          <w:rFonts w:ascii="宋体" w:hAnsi="宋体" w:cs="宋体" w:eastAsia="宋体"/>
          <w:sz w:val="24"/>
          <w:b/>
          <w:color w:val="000000"/>
        </w:rPr>
        <w:t>。</w:t>
      </w:r>
    </w:p>
    <w:p>
      <w:pPr>
        <w:pStyle w:val="null3"/>
        <w:ind w:firstLine="480"/>
        <w:jc w:val="left"/>
      </w:pPr>
      <w:r>
        <w:rPr>
          <w:rFonts w:ascii="宋体" w:hAnsi="宋体" w:cs="宋体" w:eastAsia="宋体"/>
          <w:sz w:val="24"/>
          <w:color w:val="000000"/>
          <w:u w:val="single"/>
        </w:rPr>
        <w:t>序号</w:t>
      </w:r>
      <w:r>
        <w:rPr>
          <w:rFonts w:ascii="宋体" w:hAnsi="宋体" w:cs="宋体" w:eastAsia="宋体"/>
          <w:sz w:val="24"/>
          <w:color w:val="000000"/>
          <w:u w:val="single"/>
        </w:rPr>
        <w:t>5</w:t>
      </w:r>
      <w:r>
        <w:rPr>
          <w:rFonts w:ascii="宋体" w:hAnsi="宋体" w:cs="宋体" w:eastAsia="宋体"/>
          <w:sz w:val="24"/>
          <w:color w:val="000000"/>
        </w:rPr>
        <w:t>承办单位团队力量强，团队成员拥有较高的统计专业水平，有丰富的满意度调查或评价工作经验，能够独立完成调查、评价、报告撰写等工作。</w:t>
      </w:r>
    </w:p>
    <w:p>
      <w:pPr>
        <w:pStyle w:val="null3"/>
        <w:jc w:val="left"/>
      </w:pPr>
      <w:r>
        <w:rPr>
          <w:rFonts w:ascii="宋体" w:hAnsi="宋体" w:cs="宋体" w:eastAsia="宋体"/>
          <w:sz w:val="24"/>
          <w:color w:val="000000"/>
        </w:rPr>
        <w:t>（四）调查方法及工作执行方案制定：</w:t>
      </w:r>
    </w:p>
    <w:p>
      <w:pPr>
        <w:pStyle w:val="null3"/>
        <w:ind w:firstLine="480"/>
        <w:jc w:val="left"/>
      </w:pPr>
      <w:r>
        <w:rPr>
          <w:rFonts w:ascii="宋体" w:hAnsi="宋体" w:cs="宋体" w:eastAsia="宋体"/>
          <w:sz w:val="24"/>
          <w:color w:val="000000"/>
          <w:u w:val="single"/>
        </w:rPr>
        <w:t>序号</w:t>
      </w:r>
      <w:r>
        <w:rPr>
          <w:rFonts w:ascii="宋体" w:hAnsi="宋体" w:cs="宋体" w:eastAsia="宋体"/>
          <w:sz w:val="24"/>
          <w:color w:val="000000"/>
          <w:u w:val="single"/>
        </w:rPr>
        <w:t>6</w:t>
      </w:r>
      <w:r>
        <w:rPr>
          <w:rFonts w:ascii="宋体" w:hAnsi="宋体" w:cs="宋体" w:eastAsia="宋体"/>
          <w:sz w:val="24"/>
          <w:color w:val="000000"/>
        </w:rPr>
        <w:t>要求项目承办单位采用计算机辅助电话调查系统开展随机抽样调查收集数据，遵循科学、效率、横向可比原则，调查结果要能够客观测度全省所有县（市、区）禁毒工作群众满意度。</w:t>
      </w:r>
    </w:p>
    <w:p>
      <w:pPr>
        <w:pStyle w:val="null3"/>
        <w:ind w:firstLine="480"/>
        <w:jc w:val="left"/>
      </w:pPr>
      <w:r>
        <w:rPr>
          <w:rFonts w:ascii="宋体" w:hAnsi="宋体" w:cs="宋体" w:eastAsia="宋体"/>
          <w:sz w:val="24"/>
          <w:color w:val="000000"/>
          <w:u w:val="single"/>
        </w:rPr>
        <w:t>序号</w:t>
      </w:r>
      <w:r>
        <w:rPr>
          <w:rFonts w:ascii="宋体" w:hAnsi="宋体" w:cs="宋体" w:eastAsia="宋体"/>
          <w:sz w:val="24"/>
          <w:color w:val="000000"/>
          <w:u w:val="single"/>
        </w:rPr>
        <w:t>7</w:t>
      </w:r>
      <w:r>
        <w:rPr>
          <w:rFonts w:ascii="宋体" w:hAnsi="宋体" w:cs="宋体" w:eastAsia="宋体"/>
          <w:sz w:val="24"/>
          <w:color w:val="000000"/>
        </w:rPr>
        <w:t>福建省禁毒委员会办公室会同项目承办单位共同制定该项目具体的调查工作执行方案，由项目承办单位具体组织实施，对执行中出现的问题经双方协商研究后，按照形成的相关会议纪要执行。</w:t>
      </w:r>
    </w:p>
    <w:p>
      <w:pPr>
        <w:pStyle w:val="null3"/>
        <w:ind w:firstLine="480"/>
        <w:jc w:val="left"/>
      </w:pPr>
      <w:r>
        <w:rPr>
          <w:rFonts w:ascii="宋体" w:hAnsi="宋体" w:cs="宋体" w:eastAsia="宋体"/>
          <w:sz w:val="24"/>
          <w:color w:val="000000"/>
          <w:u w:val="single"/>
        </w:rPr>
        <w:t>序号</w:t>
      </w:r>
      <w:r>
        <w:rPr>
          <w:rFonts w:ascii="宋体" w:hAnsi="宋体" w:cs="宋体" w:eastAsia="宋体"/>
          <w:sz w:val="24"/>
          <w:color w:val="000000"/>
          <w:u w:val="single"/>
        </w:rPr>
        <w:t>8</w:t>
      </w:r>
      <w:r>
        <w:rPr>
          <w:rFonts w:ascii="宋体" w:hAnsi="宋体" w:cs="宋体" w:eastAsia="宋体"/>
          <w:sz w:val="24"/>
          <w:color w:val="000000"/>
        </w:rPr>
        <w:t>调查工作执行方案应包括调查问卷格式及内容、样本抽样方法和分地区有效样本量设定、调查质量控制、项目进度安排、调查数据分析报告提纲、项目成果交付方式等内容。</w:t>
      </w:r>
    </w:p>
    <w:p>
      <w:pPr>
        <w:pStyle w:val="null3"/>
        <w:jc w:val="left"/>
      </w:pPr>
      <w:r>
        <w:rPr>
          <w:rFonts w:ascii="宋体" w:hAnsi="宋体" w:cs="宋体" w:eastAsia="宋体"/>
          <w:sz w:val="24"/>
          <w:color w:val="000000"/>
        </w:rPr>
        <w:t>（五）调查问卷内容：</w:t>
      </w:r>
    </w:p>
    <w:p>
      <w:pPr>
        <w:pStyle w:val="null3"/>
        <w:ind w:firstLine="480"/>
        <w:jc w:val="left"/>
      </w:pPr>
      <w:r>
        <w:rPr>
          <w:rFonts w:ascii="宋体" w:hAnsi="宋体" w:cs="宋体" w:eastAsia="宋体"/>
          <w:sz w:val="24"/>
          <w:color w:val="000000"/>
          <w:u w:val="single"/>
        </w:rPr>
        <w:t>序号</w:t>
      </w:r>
      <w:r>
        <w:rPr>
          <w:rFonts w:ascii="宋体" w:hAnsi="宋体" w:cs="宋体" w:eastAsia="宋体"/>
          <w:sz w:val="24"/>
          <w:color w:val="000000"/>
          <w:u w:val="single"/>
        </w:rPr>
        <w:t>9</w:t>
      </w:r>
      <w:r>
        <w:rPr>
          <w:rFonts w:ascii="宋体" w:hAnsi="宋体" w:cs="宋体" w:eastAsia="宋体"/>
          <w:sz w:val="24"/>
          <w:color w:val="000000"/>
        </w:rPr>
        <w:t>调查问卷内容至少要包括群众对禁毒工作整体满意度及影响因素、对当地毒品问题看法、禁毒工作参与度、毒品预防宣传教育成效、公安机关和政府部门落实禁毒责任、当地党委和政府对禁毒工作重视程度的评价等，要求能够结合性别、年龄、职业身份等多项内容进行关联分析。</w:t>
      </w:r>
    </w:p>
    <w:p>
      <w:pPr>
        <w:pStyle w:val="null3"/>
        <w:jc w:val="left"/>
      </w:pPr>
      <w:r>
        <w:rPr>
          <w:rFonts w:ascii="宋体" w:hAnsi="宋体" w:cs="宋体" w:eastAsia="宋体"/>
          <w:sz w:val="24"/>
          <w:color w:val="000000"/>
        </w:rPr>
        <w:t>（六）调查有效样本数量：</w:t>
      </w:r>
    </w:p>
    <w:p>
      <w:pPr>
        <w:pStyle w:val="null3"/>
        <w:ind w:firstLine="480"/>
        <w:jc w:val="left"/>
      </w:pPr>
      <w:r>
        <w:rPr>
          <w:rFonts w:ascii="宋体" w:hAnsi="宋体" w:cs="宋体" w:eastAsia="宋体"/>
          <w:sz w:val="24"/>
          <w:color w:val="000000"/>
          <w:u w:val="single"/>
        </w:rPr>
        <w:t>序号</w:t>
      </w:r>
      <w:r>
        <w:rPr>
          <w:rFonts w:ascii="宋体" w:hAnsi="宋体" w:cs="宋体" w:eastAsia="宋体"/>
          <w:sz w:val="24"/>
          <w:color w:val="000000"/>
          <w:u w:val="single"/>
        </w:rPr>
        <w:t>10</w:t>
      </w:r>
      <w:r>
        <w:rPr>
          <w:rFonts w:ascii="宋体" w:hAnsi="宋体" w:cs="宋体" w:eastAsia="宋体"/>
          <w:sz w:val="24"/>
          <w:color w:val="000000"/>
        </w:rPr>
        <w:t>本次调查有效样本总量不少于</w:t>
      </w:r>
      <w:r>
        <w:rPr>
          <w:rFonts w:ascii="宋体" w:hAnsi="宋体" w:cs="宋体" w:eastAsia="宋体"/>
          <w:sz w:val="24"/>
          <w:color w:val="000000"/>
        </w:rPr>
        <w:t>18000个，每个县（市、区）有效样本量不少于200个。</w:t>
      </w:r>
    </w:p>
    <w:p>
      <w:pPr>
        <w:pStyle w:val="null3"/>
        <w:ind w:firstLine="480"/>
        <w:jc w:val="left"/>
      </w:pPr>
      <w:r>
        <w:rPr>
          <w:rFonts w:ascii="宋体" w:hAnsi="宋体" w:cs="宋体" w:eastAsia="宋体"/>
          <w:sz w:val="24"/>
          <w:color w:val="000000"/>
          <w:u w:val="single"/>
        </w:rPr>
        <w:t>序号</w:t>
      </w:r>
      <w:r>
        <w:rPr>
          <w:rFonts w:ascii="宋体" w:hAnsi="宋体" w:cs="宋体" w:eastAsia="宋体"/>
          <w:sz w:val="24"/>
          <w:color w:val="000000"/>
          <w:u w:val="single"/>
        </w:rPr>
        <w:t>11</w:t>
      </w:r>
      <w:r>
        <w:rPr>
          <w:rFonts w:ascii="宋体" w:hAnsi="宋体" w:cs="宋体" w:eastAsia="宋体"/>
          <w:sz w:val="24"/>
          <w:color w:val="000000"/>
        </w:rPr>
        <w:t>主要调查数据指标要对全省所有县（市、区）具有代表性，各县（市、区）之间要求能够达到相对客观的横向比较分析。</w:t>
      </w:r>
    </w:p>
    <w:p>
      <w:pPr>
        <w:pStyle w:val="null3"/>
        <w:jc w:val="left"/>
      </w:pPr>
      <w:r>
        <w:rPr>
          <w:rFonts w:ascii="宋体" w:hAnsi="宋体" w:cs="宋体" w:eastAsia="宋体"/>
          <w:sz w:val="24"/>
          <w:color w:val="000000"/>
        </w:rPr>
        <w:t>（七）调查质量控制：</w:t>
      </w:r>
    </w:p>
    <w:p>
      <w:pPr>
        <w:pStyle w:val="null3"/>
        <w:ind w:firstLine="630"/>
        <w:jc w:val="left"/>
      </w:pPr>
      <w:r>
        <w:rPr>
          <w:rFonts w:ascii="宋体" w:hAnsi="宋体" w:cs="宋体" w:eastAsia="宋体"/>
          <w:sz w:val="24"/>
          <w:color w:val="000000"/>
          <w:u w:val="single"/>
        </w:rPr>
        <w:t>序号</w:t>
      </w:r>
      <w:r>
        <w:rPr>
          <w:rFonts w:ascii="宋体" w:hAnsi="宋体" w:cs="宋体" w:eastAsia="宋体"/>
          <w:sz w:val="24"/>
          <w:color w:val="000000"/>
          <w:u w:val="single"/>
        </w:rPr>
        <w:t>12</w:t>
      </w:r>
      <w:r>
        <w:rPr>
          <w:rFonts w:ascii="宋体" w:hAnsi="宋体" w:cs="宋体" w:eastAsia="宋体"/>
          <w:sz w:val="24"/>
          <w:color w:val="000000"/>
        </w:rPr>
        <w:t>项目承办单位负责全面质量管控，不得擅自更改调查方案有关规定。</w:t>
      </w:r>
    </w:p>
    <w:p>
      <w:pPr>
        <w:pStyle w:val="null3"/>
        <w:ind w:firstLine="630"/>
        <w:jc w:val="left"/>
      </w:pPr>
      <w:r>
        <w:rPr>
          <w:rFonts w:ascii="宋体" w:hAnsi="宋体" w:cs="宋体" w:eastAsia="宋体"/>
          <w:sz w:val="24"/>
          <w:color w:val="000000"/>
          <w:u w:val="single"/>
        </w:rPr>
        <w:t>序号</w:t>
      </w:r>
      <w:r>
        <w:rPr>
          <w:rFonts w:ascii="宋体" w:hAnsi="宋体" w:cs="宋体" w:eastAsia="宋体"/>
          <w:sz w:val="24"/>
          <w:color w:val="000000"/>
          <w:u w:val="single"/>
        </w:rPr>
        <w:t>13</w:t>
      </w:r>
      <w:r>
        <w:rPr>
          <w:rFonts w:ascii="宋体" w:hAnsi="宋体" w:cs="宋体" w:eastAsia="宋体"/>
          <w:sz w:val="24"/>
          <w:color w:val="000000"/>
        </w:rPr>
        <w:t>要求对调查样本进行一定比例的复核，调查过程中的样本管理、访问执行、问卷复核、数据整理等环节，工作人员互不交叉。</w:t>
      </w:r>
    </w:p>
    <w:p>
      <w:pPr>
        <w:pStyle w:val="null3"/>
        <w:ind w:firstLine="630"/>
        <w:jc w:val="left"/>
      </w:pPr>
      <w:r>
        <w:rPr>
          <w:rFonts w:ascii="宋体" w:hAnsi="宋体" w:cs="宋体" w:eastAsia="宋体"/>
          <w:sz w:val="24"/>
          <w:color w:val="000000"/>
          <w:u w:val="single"/>
        </w:rPr>
        <w:t>序号</w:t>
      </w:r>
      <w:r>
        <w:rPr>
          <w:rFonts w:ascii="宋体" w:hAnsi="宋体" w:cs="宋体" w:eastAsia="宋体"/>
          <w:sz w:val="24"/>
          <w:color w:val="000000"/>
          <w:u w:val="single"/>
        </w:rPr>
        <w:t>14</w:t>
      </w:r>
      <w:r>
        <w:rPr>
          <w:rFonts w:ascii="宋体" w:hAnsi="宋体" w:cs="宋体" w:eastAsia="宋体"/>
          <w:sz w:val="24"/>
          <w:color w:val="000000"/>
        </w:rPr>
        <w:t>项目实施人员在工作的全过程及项目执行完毕后，执行获取的原始数据、调查资料、调查结论等内容不得私自对外提供、泄露。</w:t>
      </w:r>
    </w:p>
    <w:p>
      <w:pPr>
        <w:pStyle w:val="null3"/>
        <w:ind w:firstLine="630"/>
        <w:jc w:val="left"/>
      </w:pPr>
      <w:r>
        <w:rPr>
          <w:rFonts w:ascii="宋体" w:hAnsi="宋体" w:cs="宋体" w:eastAsia="宋体"/>
          <w:sz w:val="24"/>
          <w:color w:val="000000"/>
          <w:u w:val="single"/>
        </w:rPr>
        <w:t>序号</w:t>
      </w:r>
      <w:r>
        <w:rPr>
          <w:rFonts w:ascii="宋体" w:hAnsi="宋体" w:cs="宋体" w:eastAsia="宋体"/>
          <w:sz w:val="24"/>
          <w:color w:val="000000"/>
          <w:u w:val="single"/>
        </w:rPr>
        <w:t>15</w:t>
      </w:r>
      <w:r>
        <w:rPr>
          <w:rFonts w:ascii="宋体" w:hAnsi="宋体" w:cs="宋体" w:eastAsia="宋体"/>
          <w:sz w:val="24"/>
          <w:color w:val="000000"/>
        </w:rPr>
        <w:t>项目执行完毕，承办单位需将调查汇总的原始数据库、有效样本原始访问录音等内容完整提交省禁毒办。</w:t>
      </w:r>
    </w:p>
    <w:p>
      <w:pPr>
        <w:pStyle w:val="null3"/>
        <w:ind w:firstLine="630"/>
        <w:jc w:val="left"/>
      </w:pPr>
      <w:r>
        <w:rPr>
          <w:rFonts w:ascii="宋体" w:hAnsi="宋体" w:cs="宋体" w:eastAsia="宋体"/>
          <w:sz w:val="24"/>
          <w:color w:val="000000"/>
          <w:u w:val="single"/>
        </w:rPr>
        <w:t>序号</w:t>
      </w:r>
      <w:r>
        <w:rPr>
          <w:rFonts w:ascii="宋体" w:hAnsi="宋体" w:cs="宋体" w:eastAsia="宋体"/>
          <w:sz w:val="24"/>
          <w:color w:val="000000"/>
          <w:u w:val="single"/>
        </w:rPr>
        <w:t>16</w:t>
      </w:r>
      <w:r>
        <w:rPr>
          <w:rFonts w:ascii="宋体" w:hAnsi="宋体" w:cs="宋体" w:eastAsia="宋体"/>
          <w:sz w:val="24"/>
          <w:color w:val="000000"/>
        </w:rPr>
        <w:t>调查期间，省禁毒办可与项目承办单位派出联合检查组，对调查工作情况进行督导检查和事后质量抽查。</w:t>
      </w:r>
    </w:p>
    <w:p>
      <w:pPr>
        <w:pStyle w:val="null3"/>
        <w:jc w:val="left"/>
      </w:pPr>
      <w:r>
        <w:rPr>
          <w:rFonts w:ascii="宋体" w:hAnsi="宋体" w:cs="宋体" w:eastAsia="宋体"/>
          <w:sz w:val="24"/>
          <w:color w:val="000000"/>
        </w:rPr>
        <w:t>（八）项目进度安排：</w:t>
      </w:r>
    </w:p>
    <w:p>
      <w:pPr>
        <w:pStyle w:val="null3"/>
        <w:ind w:firstLine="630"/>
        <w:jc w:val="left"/>
      </w:pPr>
      <w:r>
        <w:rPr>
          <w:rFonts w:ascii="宋体" w:hAnsi="宋体" w:cs="宋体" w:eastAsia="宋体"/>
          <w:sz w:val="24"/>
          <w:color w:val="000000"/>
          <w:u w:val="single"/>
        </w:rPr>
        <w:t>序号</w:t>
      </w:r>
      <w:r>
        <w:rPr>
          <w:rFonts w:ascii="宋体" w:hAnsi="宋体" w:cs="宋体" w:eastAsia="宋体"/>
          <w:sz w:val="24"/>
          <w:color w:val="000000"/>
          <w:u w:val="single"/>
        </w:rPr>
        <w:t>17</w:t>
      </w:r>
      <w:r>
        <w:rPr>
          <w:rFonts w:ascii="宋体" w:hAnsi="宋体" w:cs="宋体" w:eastAsia="宋体"/>
          <w:sz w:val="24"/>
          <w:color w:val="000000"/>
        </w:rPr>
        <w:t>项目调查需在签订项目合同之日后完成调查和分析报告初稿撰写等工作，承办单位要根据省禁毒办对数据分析报告初稿反馈的意见建议进行修改完善，向省禁毒办递交正式的《福建省禁毒工作群众满意度调查分析报告》。</w:t>
      </w:r>
    </w:p>
    <w:p>
      <w:pPr>
        <w:pStyle w:val="null3"/>
        <w:jc w:val="left"/>
      </w:pPr>
      <w:r>
        <w:rPr>
          <w:rFonts w:ascii="宋体" w:hAnsi="宋体" w:cs="宋体" w:eastAsia="宋体"/>
          <w:sz w:val="24"/>
          <w:color w:val="000000"/>
        </w:rPr>
        <w:t>（九）项目验收：</w:t>
      </w:r>
    </w:p>
    <w:p>
      <w:pPr>
        <w:pStyle w:val="null3"/>
        <w:ind w:firstLine="630"/>
        <w:jc w:val="left"/>
      </w:pPr>
      <w:r>
        <w:rPr>
          <w:rFonts w:ascii="宋体" w:hAnsi="宋体" w:cs="宋体" w:eastAsia="宋体"/>
          <w:sz w:val="24"/>
          <w:color w:val="000000"/>
          <w:u w:val="single"/>
        </w:rPr>
        <w:t>序号</w:t>
      </w:r>
      <w:r>
        <w:rPr>
          <w:rFonts w:ascii="宋体" w:hAnsi="宋体" w:cs="宋体" w:eastAsia="宋体"/>
          <w:sz w:val="24"/>
          <w:color w:val="000000"/>
          <w:u w:val="single"/>
        </w:rPr>
        <w:t>18</w:t>
      </w:r>
      <w:r>
        <w:rPr>
          <w:rFonts w:ascii="宋体" w:hAnsi="宋体" w:cs="宋体" w:eastAsia="宋体"/>
          <w:sz w:val="24"/>
          <w:color w:val="000000"/>
        </w:rPr>
        <w:t>各项调查工作结束后，由省禁毒办对项目进行验收，承办单位提交下述验收文件待审核：</w:t>
      </w:r>
    </w:p>
    <w:p>
      <w:pPr>
        <w:pStyle w:val="null3"/>
        <w:ind w:firstLine="630"/>
        <w:jc w:val="left"/>
      </w:pPr>
      <w:r>
        <w:rPr>
          <w:rFonts w:ascii="宋体" w:hAnsi="宋体" w:cs="宋体" w:eastAsia="宋体"/>
          <w:sz w:val="24"/>
          <w:color w:val="000000"/>
        </w:rPr>
        <w:t>1.《福建省禁毒工作群众满意度调查分析报告》（正式稿）；</w:t>
      </w:r>
    </w:p>
    <w:p>
      <w:pPr>
        <w:pStyle w:val="null3"/>
        <w:ind w:firstLine="630"/>
        <w:jc w:val="left"/>
      </w:pPr>
      <w:r>
        <w:rPr>
          <w:rFonts w:ascii="宋体" w:hAnsi="宋体" w:cs="宋体" w:eastAsia="宋体"/>
          <w:sz w:val="24"/>
          <w:color w:val="000000"/>
        </w:rPr>
        <w:t>2.项目验收申请；</w:t>
      </w:r>
    </w:p>
    <w:p>
      <w:pPr>
        <w:pStyle w:val="null3"/>
        <w:ind w:firstLine="630"/>
        <w:jc w:val="left"/>
      </w:pPr>
      <w:r>
        <w:rPr>
          <w:rFonts w:ascii="宋体" w:hAnsi="宋体" w:cs="宋体" w:eastAsia="宋体"/>
          <w:sz w:val="24"/>
          <w:color w:val="000000"/>
        </w:rPr>
        <w:t>3.项目实施情况自评价报告；</w:t>
      </w:r>
    </w:p>
    <w:p>
      <w:pPr>
        <w:pStyle w:val="null3"/>
        <w:ind w:firstLine="630"/>
        <w:jc w:val="left"/>
      </w:pPr>
      <w:r>
        <w:rPr>
          <w:rFonts w:ascii="宋体" w:hAnsi="宋体" w:cs="宋体" w:eastAsia="宋体"/>
          <w:sz w:val="24"/>
          <w:color w:val="000000"/>
        </w:rPr>
        <w:t>4.调查原始数据、调查资料；</w:t>
      </w:r>
    </w:p>
    <w:p>
      <w:pPr>
        <w:pStyle w:val="null3"/>
        <w:ind w:firstLine="630"/>
        <w:jc w:val="left"/>
      </w:pPr>
      <w:r>
        <w:rPr>
          <w:rFonts w:ascii="宋体" w:hAnsi="宋体" w:cs="宋体" w:eastAsia="宋体"/>
          <w:sz w:val="24"/>
          <w:color w:val="000000"/>
        </w:rPr>
        <w:t>5.项目执行过程中有关修改、调整纪要文件。</w:t>
      </w:r>
    </w:p>
    <w:p>
      <w:pPr>
        <w:pStyle w:val="null3"/>
        <w:jc w:val="left"/>
      </w:pPr>
      <w:r>
        <w:rPr>
          <w:rFonts w:ascii="宋体" w:hAnsi="宋体" w:cs="宋体" w:eastAsia="宋体"/>
          <w:sz w:val="24"/>
          <w:color w:val="000000"/>
        </w:rPr>
        <w:t>（十）成果交付：</w:t>
      </w:r>
    </w:p>
    <w:p>
      <w:pPr>
        <w:pStyle w:val="null3"/>
        <w:jc w:val="both"/>
      </w:pPr>
      <w:r>
        <w:rPr/>
        <w:t xml:space="preserve"> </w:t>
      </w:r>
      <w:r>
        <w:rPr>
          <w:rFonts w:ascii="宋体" w:hAnsi="宋体" w:cs="宋体" w:eastAsia="宋体"/>
          <w:sz w:val="24"/>
          <w:color w:val="000000"/>
          <w:u w:val="single"/>
        </w:rPr>
        <w:t>序号</w:t>
      </w:r>
      <w:r>
        <w:rPr>
          <w:rFonts w:ascii="宋体" w:hAnsi="宋体" w:cs="宋体" w:eastAsia="宋体"/>
          <w:sz w:val="24"/>
          <w:color w:val="000000"/>
          <w:u w:val="single"/>
        </w:rPr>
        <w:t>19</w:t>
      </w:r>
      <w:r>
        <w:rPr>
          <w:rFonts w:ascii="宋体" w:hAnsi="宋体" w:cs="宋体" w:eastAsia="宋体"/>
          <w:sz w:val="24"/>
          <w:color w:val="000000"/>
        </w:rPr>
        <w:t>待省禁毒办验收通过后，承办单位需提交《福建省禁毒工作群众满意度调查分析报告》印刷品</w:t>
      </w:r>
      <w:r>
        <w:rPr>
          <w:rFonts w:ascii="宋体" w:hAnsi="宋体" w:cs="宋体" w:eastAsia="宋体"/>
          <w:sz w:val="24"/>
          <w:color w:val="000000"/>
        </w:rPr>
        <w:t>50份（含50份电子版光盘）。</w:t>
      </w:r>
    </w:p>
    <w:p>
      <w:pPr>
        <w:pStyle w:val="null3"/>
        <w:jc w:val="left"/>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合同签订后 45 个日历日内完成调查和分析报告初稿撰写等工作，75个日历日内递交正式报告。</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福建省福州市鼓楼区华林路12号</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成交人提供的所有验收文件，审核合格后提交采购人。</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1、合同签订生效后，采购人在收到成交供应商提供的本合同总金额的80%款项的正规发票后视为达到付款条件，达到付款条件起30日内，支付合同总金额的80.00%</w:t>
            </w:r>
          </w:p>
          <w:p>
            <w:pPr>
              <w:pStyle w:val="null3"/>
            </w:pPr>
            <w:r>
              <w:rPr/>
              <w:t>2、成交供应商按合同约定完成全部服务内容，经采购人验收合格后，采购人在收到成交供应商提供本合同总金额的20%款项的正规发票后视为达到付款条件，达到付款条件起30日内，支付合同总金额的20.00%</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1、期次1，说明：各项调查工作结束后，由省禁毒办对项目进行验收，成交供应商提交下述验收文件待审核： 1.《福建省禁毒工作群众满意度调查分析报告》（正式稿）； 2.项目验收申请； 3.项目实施情况自评价报告； 4.调查原始数据、调查资料； 5.项目执行过程中有关修改、调整纪要文件。 待省禁毒办验收通过后，成交供应商需提交《福建省禁毒工作群众满意度调查分析报告》印刷品50份（含50份电子版光盘）。</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sz w:val="24"/>
          <w:color w:val="000000"/>
        </w:rPr>
        <w:t>★</w:t>
      </w:r>
      <w:r>
        <w:rPr>
          <w:rFonts w:ascii="宋体" w:hAnsi="宋体" w:cs="宋体" w:eastAsia="宋体"/>
          <w:sz w:val="24"/>
          <w:color w:val="000000"/>
          <w:shd w:fill="FFFFFF" w:val="clear"/>
        </w:rPr>
        <w:t>8、违约责任</w:t>
      </w:r>
    </w:p>
    <w:p>
      <w:pPr>
        <w:pStyle w:val="null3"/>
        <w:ind w:firstLine="420"/>
        <w:jc w:val="left"/>
      </w:pPr>
      <w:r>
        <w:rPr>
          <w:rFonts w:ascii="宋体" w:hAnsi="宋体" w:cs="宋体" w:eastAsia="宋体"/>
          <w:sz w:val="24"/>
          <w:color w:val="000000"/>
          <w:shd w:fill="FFFFFF" w:val="clear"/>
        </w:rPr>
        <w:t>8.1因成交人原因造成采购供货合同无法按时签订，视为成交人违约，采购人有权没收其投标保证金（若有），如投标保证金不能弥补成交人违约对采购人造成的损失的，成交人还需另行支付相应的赔偿。</w:t>
      </w:r>
    </w:p>
    <w:p>
      <w:pPr>
        <w:pStyle w:val="null3"/>
        <w:ind w:firstLine="420"/>
        <w:jc w:val="left"/>
      </w:pPr>
      <w:r>
        <w:rPr>
          <w:rFonts w:ascii="宋体" w:hAnsi="宋体" w:cs="宋体" w:eastAsia="宋体"/>
          <w:sz w:val="24"/>
          <w:color w:val="000000"/>
          <w:shd w:fill="FFFFFF" w:val="clear"/>
        </w:rPr>
        <w:t>8.2在签订采购合同之后，成交人要求解除合同的，视为成交人违约，</w:t>
      </w:r>
      <w:r>
        <w:rPr>
          <w:rFonts w:ascii="宋体" w:hAnsi="宋体" w:cs="宋体" w:eastAsia="宋体"/>
          <w:sz w:val="24"/>
          <w:color w:val="000000"/>
          <w:shd w:fill="FFFFFF" w:val="clear"/>
        </w:rPr>
        <w:t>成交人</w:t>
      </w:r>
      <w:r>
        <w:rPr>
          <w:rFonts w:ascii="宋体" w:hAnsi="宋体" w:cs="宋体" w:eastAsia="宋体"/>
          <w:sz w:val="24"/>
          <w:color w:val="000000"/>
          <w:shd w:fill="FFFFFF" w:val="clear"/>
        </w:rPr>
        <w:t>应向采购人支付</w:t>
      </w:r>
      <w:r>
        <w:rPr>
          <w:rFonts w:ascii="宋体" w:hAnsi="宋体" w:cs="宋体" w:eastAsia="宋体"/>
          <w:sz w:val="24"/>
          <w:color w:val="000000"/>
          <w:shd w:fill="FFFFFF" w:val="clear"/>
        </w:rPr>
        <w:t>合同总金额</w:t>
      </w:r>
      <w:r>
        <w:rPr>
          <w:rFonts w:ascii="宋体" w:hAnsi="宋体" w:cs="宋体" w:eastAsia="宋体"/>
          <w:sz w:val="24"/>
          <w:color w:val="000000"/>
          <w:shd w:fill="FFFFFF" w:val="clear"/>
        </w:rPr>
        <w:t>10</w:t>
      </w:r>
      <w:r>
        <w:rPr>
          <w:rFonts w:ascii="宋体" w:hAnsi="宋体" w:cs="宋体" w:eastAsia="宋体"/>
          <w:sz w:val="24"/>
          <w:color w:val="000000"/>
          <w:shd w:fill="FFFFFF" w:val="clear"/>
        </w:rPr>
        <w:t>%的违约金，</w:t>
      </w:r>
      <w:r>
        <w:rPr>
          <w:rFonts w:ascii="宋体" w:hAnsi="宋体" w:cs="宋体" w:eastAsia="宋体"/>
          <w:sz w:val="24"/>
          <w:color w:val="000000"/>
          <w:shd w:fill="FFFFFF" w:val="clear"/>
        </w:rPr>
        <w:t>由此</w:t>
      </w:r>
      <w:r>
        <w:rPr>
          <w:rFonts w:ascii="宋体" w:hAnsi="宋体" w:cs="宋体" w:eastAsia="宋体"/>
          <w:sz w:val="24"/>
          <w:color w:val="000000"/>
          <w:shd w:fill="FFFFFF" w:val="clear"/>
        </w:rPr>
        <w:t>对采购人造成的损失的，成交人需支付相应的赔偿。</w:t>
      </w:r>
    </w:p>
    <w:p>
      <w:pPr>
        <w:pStyle w:val="null3"/>
        <w:ind w:firstLine="420"/>
        <w:jc w:val="left"/>
      </w:pPr>
      <w:r>
        <w:rPr>
          <w:rFonts w:ascii="宋体" w:hAnsi="宋体" w:cs="宋体" w:eastAsia="宋体"/>
          <w:sz w:val="24"/>
          <w:color w:val="000000"/>
          <w:shd w:fill="FFFFFF" w:val="clear"/>
        </w:rPr>
        <w:t>8.3本项目不允许成交人以任何名义和理由在成交后将成交项目的主体、非主体、关键性工作、非关键性工作进行转包、分包，在履行合同过程中如有发现，采购人有权单方终止合同，视为成交人违约，成交人应向采购人支付合同总金额10%的违约金，成交人违约对采购人造成的损失的，需另行支付相应的赔偿，并追究相关法律责任。</w:t>
      </w:r>
    </w:p>
    <w:p>
      <w:pPr>
        <w:pStyle w:val="null3"/>
        <w:ind w:firstLine="420"/>
        <w:jc w:val="left"/>
      </w:pPr>
      <w:r>
        <w:rPr>
          <w:rFonts w:ascii="宋体" w:hAnsi="宋体" w:cs="宋体" w:eastAsia="宋体"/>
          <w:sz w:val="24"/>
          <w:color w:val="000000"/>
          <w:shd w:fill="FFFFFF" w:val="clear"/>
        </w:rPr>
        <w:t>8.4成交人未按采购人要求或约定时间交货的，每逾期一日，成交人应向采购人支付400元/次或天的违约金；逾期超过5个工作日的，采购人有权解除合同，成交人应向采购人支付合同总金额10%的违约金，采购人由此产生的一切损失及后果由成交人承担。</w:t>
      </w:r>
    </w:p>
    <w:p>
      <w:pPr>
        <w:pStyle w:val="null3"/>
        <w:ind w:firstLine="420"/>
        <w:jc w:val="left"/>
      </w:pPr>
      <w:r>
        <w:rPr>
          <w:rFonts w:ascii="宋体" w:hAnsi="宋体" w:cs="宋体" w:eastAsia="宋体"/>
          <w:sz w:val="24"/>
          <w:color w:val="000000"/>
          <w:shd w:fill="FFFFFF" w:val="clear"/>
        </w:rPr>
        <w:t>8.</w:t>
      </w:r>
      <w:r>
        <w:rPr>
          <w:rFonts w:ascii="宋体" w:hAnsi="宋体" w:cs="宋体" w:eastAsia="宋体"/>
          <w:sz w:val="24"/>
          <w:color w:val="000000"/>
          <w:shd w:fill="FFFFFF" w:val="clear"/>
        </w:rPr>
        <w:t>5</w:t>
      </w:r>
      <w:r>
        <w:rPr>
          <w:rFonts w:ascii="宋体" w:hAnsi="宋体" w:cs="宋体" w:eastAsia="宋体"/>
          <w:sz w:val="24"/>
          <w:color w:val="000000"/>
          <w:shd w:fill="FFFFFF" w:val="clear"/>
        </w:rPr>
        <w:t>因成交人原因发生重大质量事故，除依约承担赔偿责任外，还将按有关质量管理办法规定执行。同时，采购人有权保留更换成交人的权利，并报相关行政主管部门处罚。</w:t>
      </w:r>
    </w:p>
    <w:p>
      <w:pPr>
        <w:pStyle w:val="null3"/>
        <w:ind w:firstLine="420"/>
        <w:jc w:val="left"/>
      </w:pPr>
      <w:r>
        <w:rPr>
          <w:rFonts w:ascii="宋体" w:hAnsi="宋体" w:cs="宋体" w:eastAsia="宋体"/>
          <w:sz w:val="24"/>
          <w:color w:val="000000"/>
          <w:shd w:fill="FFFFFF" w:val="clear"/>
        </w:rPr>
        <w:t>8.6任何一方因违约行为给对方造成损失的，应承担赔偿责任，任何一方所采取必要的补救措施而发生的相关费用（包括但不限于诉讼费、公告费、财产保全费、财产保全担保费、执行费、评估费、拍卖费、律师费、差旅费等）均由违约方承担。</w:t>
      </w:r>
    </w:p>
    <w:p>
      <w:pPr>
        <w:pStyle w:val="null3"/>
        <w:ind w:firstLine="420"/>
        <w:jc w:val="left"/>
      </w:pPr>
      <w:r>
        <w:rPr>
          <w:rFonts w:ascii="宋体" w:hAnsi="宋体" w:cs="宋体" w:eastAsia="宋体"/>
          <w:sz w:val="24"/>
          <w:color w:val="000000"/>
          <w:shd w:fill="FFFFFF" w:val="clear"/>
        </w:rPr>
        <w:t>8.</w:t>
      </w:r>
      <w:r>
        <w:rPr>
          <w:rFonts w:ascii="宋体" w:hAnsi="宋体" w:cs="宋体" w:eastAsia="宋体"/>
          <w:sz w:val="24"/>
          <w:color w:val="000000"/>
          <w:shd w:fill="FFFFFF" w:val="clear"/>
        </w:rPr>
        <w:t>7</w:t>
      </w:r>
      <w:r>
        <w:rPr>
          <w:rFonts w:ascii="宋体" w:hAnsi="宋体" w:cs="宋体" w:eastAsia="宋体"/>
          <w:sz w:val="24"/>
          <w:color w:val="000000"/>
          <w:shd w:fill="FFFFFF" w:val="clear"/>
        </w:rPr>
        <w:t>在明确违约责任后，成交人应在接到书面通知书起七天内支付违约金、赔偿金等。</w:t>
      </w:r>
    </w:p>
    <w:p>
      <w:pPr>
        <w:pStyle w:val="null3"/>
        <w:ind w:firstLine="420"/>
        <w:jc w:val="left"/>
      </w:pPr>
      <w:r>
        <w:rPr>
          <w:rFonts w:ascii="宋体" w:hAnsi="宋体" w:cs="宋体" w:eastAsia="宋体"/>
          <w:sz w:val="24"/>
          <w:color w:val="000000"/>
          <w:shd w:fill="FFFFFF" w:val="clear"/>
        </w:rPr>
        <w:t>8.8采购人与成交人如因履行合同内容发生争议，应先行友好协商解决。协商不成的，向采购人所在地法院提起诉讼。</w:t>
      </w:r>
    </w:p>
    <w:p>
      <w:pPr>
        <w:pStyle w:val="null3"/>
        <w:jc w:val="left"/>
        <w:outlineLvl w:val="2"/>
      </w:pPr>
      <w:r>
        <w:rPr>
          <w:sz w:val="28"/>
          <w:b/>
        </w:rPr>
        <w:t>四、其他事项</w:t>
      </w:r>
    </w:p>
    <w:p>
      <w:pPr>
        <w:pStyle w:val="null3"/>
        <w:jc w:val="left"/>
      </w:pPr>
      <w:r>
        <w:rPr/>
        <w:t>无</w:t>
      </w:r>
    </w:p>
    <w:p>
      <w:pPr>
        <w:pStyle w:val="null3"/>
        <w:jc w:val="left"/>
      </w:pPr>
      <w:r>
        <w:rPr/>
        <w:t xml:space="preserve"> </w:t>
        <w:br/>
        <w:br w:type="page"/>
      </w:r>
    </w:p>
    <w:p>
      <w:pPr>
        <w:pStyle w:val="null3"/>
        <w:jc w:val="center"/>
        <w:outlineLvl w:val="1"/>
      </w:pPr>
      <w:r>
        <w:rPr>
          <w:sz w:val="36"/>
          <w:b/>
        </w:rPr>
        <w:t>第四章 合同主要条款及格式</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sz w:val="48"/>
          <w:b/>
        </w:rPr>
        <w:t xml:space="preserve"> 福建省政府采购项目竞争性磋商</w:t>
      </w:r>
    </w:p>
    <w:p>
      <w:pPr>
        <w:pStyle w:val="null3"/>
        <w:jc w:val="center"/>
        <w:outlineLvl w:val="1"/>
      </w:pPr>
      <w:r>
        <w:rPr>
          <w:sz w:val="36"/>
          <w:b/>
        </w:rPr>
        <w:t>响应文件</w:t>
      </w:r>
    </w:p>
    <w:p>
      <w:pPr>
        <w:pStyle w:val="null3"/>
        <w:jc w:val="center"/>
        <w:outlineLvl w:val="1"/>
      </w:pPr>
      <w:r>
        <w:rPr>
          <w:sz w:val="36"/>
          <w:b/>
        </w:rPr>
        <w:t>（首次）</w:t>
      </w:r>
      <w:r>
        <w:br/>
      </w:r>
      <w:r>
        <w:br/>
      </w:r>
      <w:r>
        <w:br/>
      </w:r>
      <w:r>
        <w:br/>
      </w:r>
      <w:r>
        <w:br/>
      </w:r>
    </w:p>
    <w:p>
      <w:pPr>
        <w:pStyle w:val="null3"/>
        <w:jc w:val="center"/>
        <w:outlineLvl w:val="2"/>
      </w:pPr>
      <w:r>
        <w:rPr>
          <w:sz w:val="28"/>
          <w:b/>
        </w:rPr>
        <w:t>项目名称：</w:t>
      </w:r>
      <w:r>
        <w:rPr>
          <w:sz w:val="28"/>
          <w:b/>
          <w:u w:val="single"/>
        </w:rPr>
        <w:t xml:space="preserve">                                  </w:t>
      </w:r>
    </w:p>
    <w:p>
      <w:pPr>
        <w:pStyle w:val="null3"/>
        <w:jc w:val="center"/>
        <w:outlineLvl w:val="2"/>
      </w:pPr>
      <w:r>
        <w:rPr>
          <w:sz w:val="28"/>
          <w:b/>
        </w:rPr>
        <w:t>项目编号：</w:t>
      </w:r>
      <w:r>
        <w:rPr>
          <w:sz w:val="28"/>
          <w:b/>
          <w:u w:val="single"/>
        </w:rPr>
        <w:t xml:space="preserve">                                  </w:t>
      </w:r>
    </w:p>
    <w:p>
      <w:pPr>
        <w:pStyle w:val="null3"/>
        <w:jc w:val="center"/>
        <w:outlineLvl w:val="2"/>
      </w:pPr>
      <w:r>
        <w:rPr>
          <w:sz w:val="28"/>
          <w:b/>
        </w:rPr>
        <w:t>采购包：</w:t>
      </w:r>
      <w:r>
        <w:rPr>
          <w:sz w:val="28"/>
          <w:b/>
          <w:u w:val="single"/>
        </w:rPr>
        <w:t xml:space="preserve">                                  </w:t>
      </w:r>
      <w:r>
        <w:br/>
      </w:r>
      <w:r>
        <w:br/>
      </w:r>
    </w:p>
    <w:p>
      <w:pPr>
        <w:pStyle w:val="null3"/>
        <w:jc w:val="center"/>
        <w:outlineLvl w:val="2"/>
      </w:pPr>
      <w:r>
        <w:rPr>
          <w:sz w:val="28"/>
          <w:b/>
        </w:rPr>
        <w:t>供应商名称：</w:t>
      </w:r>
      <w:r>
        <w:rPr>
          <w:sz w:val="28"/>
          <w:b/>
          <w:u w:val="single"/>
        </w:rPr>
        <w:t xml:space="preserve">                                  </w:t>
      </w:r>
    </w:p>
    <w:p>
      <w:pPr>
        <w:pStyle w:val="null3"/>
        <w:jc w:val="center"/>
        <w:outlineLvl w:val="2"/>
      </w:pPr>
      <w:r>
        <w:rPr>
          <w:sz w:val="28"/>
          <w:b/>
        </w:rPr>
        <w:t>日        期：</w:t>
      </w:r>
      <w:r>
        <w:rPr>
          <w:sz w:val="28"/>
          <w:b/>
          <w:u w:val="single"/>
        </w:rPr>
        <w:t xml:space="preserve">                                  </w:t>
      </w:r>
    </w:p>
    <w:p>
      <w:pPr>
        <w:pStyle w:val="null3"/>
      </w:pPr>
      <w:r>
        <w:rPr/>
        <w:t xml:space="preserve"> </w:t>
        <w:br/>
        <w:br w:type="page"/>
      </w:r>
    </w:p>
    <w:p>
      <w:pPr>
        <w:pStyle w:val="null3"/>
        <w:jc w:val="center"/>
        <w:outlineLvl w:val="2"/>
      </w:pPr>
      <w:r>
        <w:rPr>
          <w:sz w:val="28"/>
          <w:b/>
        </w:rPr>
        <w:t>目 录</w:t>
      </w:r>
    </w:p>
    <w:p>
      <w:pPr>
        <w:pStyle w:val="null3"/>
        <w:ind w:firstLine="480"/>
        <w:jc w:val="left"/>
      </w:pPr>
      <w:r>
        <w:rPr/>
        <w:t>附件1：响应函</w:t>
      </w:r>
    </w:p>
    <w:p>
      <w:pPr>
        <w:pStyle w:val="null3"/>
        <w:ind w:firstLine="480"/>
        <w:jc w:val="left"/>
      </w:pPr>
      <w:r>
        <w:rPr/>
        <w:t>附件2：开标（报价）一览表（含投标（响应）报价明细表）</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[350001]LSGC[CS]2024003</w:t>
      </w:r>
    </w:p>
    <w:p>
      <w:pPr>
        <w:pStyle w:val="null3"/>
        <w:jc w:val="left"/>
      </w:pPr>
      <w:r>
        <w:rPr/>
        <w:t>项目名称：</w:t>
      </w:r>
      <w:r>
        <w:rPr/>
        <w:t>全省禁毒工作群众满意度调查</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全省禁毒工作群众满意度调查</w:t>
            </w:r>
          </w:p>
        </w:tc>
        <w:tc>
          <w:tcPr>
            <w:tcW w:type="dxa" w:w="1661"/>
          </w:tcPr>
          <w:p>
            <w:pPr>
              <w:pStyle w:val="null3"/>
              <w:jc w:val="left"/>
            </w:pPr>
            <w:r>
              <w:rPr/>
              <w:t xml:space="preserve"> 400000.0000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[350001]LSGC[CS]2024003</w:t>
      </w:r>
    </w:p>
    <w:p>
      <w:pPr>
        <w:pStyle w:val="null3"/>
        <w:jc w:val="left"/>
      </w:pPr>
      <w:r>
        <w:rPr/>
        <w:t>项目名称：</w:t>
      </w:r>
      <w:r>
        <w:rPr/>
        <w:t>全省禁毒工作群众满意度调查</w:t>
      </w:r>
    </w:p>
    <w:p>
      <w:pPr>
        <w:pStyle w:val="null3"/>
        <w:jc w:val="left"/>
      </w:pPr>
      <w:r>
        <w:rPr/>
        <w:t xml:space="preserve"> 全省禁毒工作群众满意度调查</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全省禁毒工作群众满意度调查</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400000.0000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次</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center"/>
        <w:outlineLvl w:val="2"/>
      </w:pPr>
      <w:r>
        <w:rPr>
          <w:sz w:val="28"/>
          <w:b/>
        </w:rPr>
        <w:t>附件3 资格证明文件</w:t>
      </w:r>
    </w:p>
    <w:p>
      <w:pPr>
        <w:pStyle w:val="null3"/>
        <w:jc w:val="center"/>
        <w:outlineLvl w:val="3"/>
      </w:pPr>
      <w:r>
        <w:rPr>
          <w:sz w:val="24"/>
          <w:b/>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2"/>
      </w:pPr>
      <w:r>
        <w:rPr>
          <w:sz w:val="28"/>
          <w:b/>
        </w:rPr>
        <w:t>附件3-4 证明材料</w:t>
      </w:r>
    </w:p>
    <w:p>
      <w:pPr>
        <w:pStyle w:val="null3"/>
        <w:ind w:firstLine="480"/>
        <w:jc w:val="left"/>
      </w:pPr>
      <w:r>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sz w:val="28"/>
          <w:b/>
        </w:rPr>
        <w:t>附件3-4-1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pPr>
      <w:r>
        <w:rPr/>
        <w:t xml:space="preserve"> </w:t>
        <w:br/>
        <w:br w:type="page"/>
      </w:r>
    </w:p>
    <w:p>
      <w:pPr>
        <w:pStyle w:val="null3"/>
        <w:jc w:val="center"/>
        <w:outlineLvl w:val="2"/>
      </w:pPr>
      <w:r>
        <w:rPr>
          <w:sz w:val="28"/>
          <w:b/>
        </w:rPr>
        <w:t>附件3-4-2 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 xml:space="preserve"> 具备履行合同所必需设备和专业技术能力证明材料</w:t>
      </w:r>
    </w:p>
    <w:p>
      <w:pPr>
        <w:pStyle w:val="null3"/>
        <w:jc w:val="center"/>
        <w:outlineLvl w:val="3"/>
      </w:pPr>
      <w:r>
        <w:rPr>
          <w:sz w:val="24"/>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sz w:val="24"/>
          <w:b/>
        </w:rPr>
        <w:t>附件3-5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附件3-6 联合体协议</w:t>
      </w:r>
    </w:p>
    <w:p>
      <w:pPr>
        <w:pStyle w:val="null3"/>
        <w:jc w:val="center"/>
        <w:outlineLvl w:val="3"/>
      </w:pPr>
      <w:r>
        <w:rPr>
          <w:sz w:val="24"/>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附件3-7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附件3-8 其它资格证明文件</w:t>
      </w:r>
    </w:p>
    <w:p>
      <w:pPr>
        <w:pStyle w:val="null3"/>
        <w:jc w:val="center"/>
        <w:outlineLvl w:val="3"/>
      </w:pPr>
      <w:r>
        <w:rPr>
          <w:sz w:val="24"/>
          <w:b/>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附件4 磋商保证金凭证</w:t>
      </w:r>
    </w:p>
    <w:p>
      <w:pPr>
        <w:pStyle w:val="null3"/>
        <w:jc w:val="center"/>
        <w:outlineLvl w:val="3"/>
      </w:pPr>
      <w:r>
        <w:rPr>
          <w:sz w:val="24"/>
          <w:b/>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sz w:val="28"/>
          <w:b/>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sz w:val="24"/>
          <w:b/>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3"/>
      </w:pPr>
      <w:r>
        <w:rPr>
          <w:sz w:val="24"/>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sz w:val="24"/>
          <w:b/>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sz w:val="24"/>
          <w:b/>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 xml:space="preserve"> 附件7-2 优先类节能产品、环境标志产品价格扣除证明材料（若有）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